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F01" w:rsidRDefault="00FF0F01" w:rsidP="00FF0F01">
      <w:pPr>
        <w:keepNext/>
        <w:spacing w:before="240" w:after="60"/>
        <w:jc w:val="center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COMUNICATO STAMPA</w:t>
      </w:r>
    </w:p>
    <w:p w:rsidR="00FF0F01" w:rsidRDefault="00FF0F01" w:rsidP="00FF0F01">
      <w:pPr>
        <w:keepNext/>
        <w:spacing w:before="240" w:after="60"/>
        <w:jc w:val="center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CRISI: LA RECESSIONE ECONOMICA E’ CONFERMATA ANCHE DAI BASSI REDDITI, CHE DIVORATI DA FISCALITA’,CRESCONO MENO DI FRANCIA, GERMANIA,SPAGNA,INGHILTERRA. CALATO PIL, PREZZI AL CONSUMO, INFLAZIONE (-02%) RICCHEZZA FAMIGLIE (-1,7%),AUMENTA +4% DEBITO PUBBLICO.</w:t>
      </w:r>
    </w:p>
    <w:p w:rsidR="00FF0F01" w:rsidRDefault="00FF0F01" w:rsidP="00FF0F01">
      <w:pPr>
        <w:keepNext/>
        <w:spacing w:before="240" w:after="60"/>
        <w:jc w:val="both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 xml:space="preserve">   Dopo la diminuzione nel 2013 del valore della ricchezza netta delle famiglie (-1,7 per cento pari a 8.728 miliardi di euro, corrispondenti in media a 144.000 euro pro capite e a 356.000 euro per famiglia), analoga riduzione è prevista per il 2014, per la modesta crescita del </w:t>
      </w:r>
      <w:proofErr w:type="spellStart"/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Pil</w:t>
      </w:r>
      <w:proofErr w:type="spellEnd"/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 xml:space="preserve"> (+ 0,4% che non recupera la flessione dello 0,4% del 2014), l’inflazione negativa (-0,2%) per la discesa delle quotazioni del petrolio concausa della recessione, il calo dei prezzi al consumo di un -0,2%, l’aumento del debito pubblico di un + 4% rispetto al 2013,che dovrebbe attestarsi a circa 2.170 miliardi di euro a fine 2014. L’unica nota positiva il calo degli spread, che potrebbero far risparmiare per i titoli di debito pubblico, pari a 298 miliardi in scadenza nel 2015, da 5,4,a 6,7 miliardi (a seconda dei tassi applicati in fase emissione da – 1% a – 1,9%)  per la spesa interessi.</w:t>
      </w:r>
    </w:p>
    <w:p w:rsidR="00FF0F01" w:rsidRDefault="00FF0F01" w:rsidP="00FF0F01">
      <w:pPr>
        <w:keepNext/>
        <w:spacing w:before="240" w:after="60"/>
        <w:jc w:val="both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 xml:space="preserve"> Negli anni della crisi, </w:t>
      </w: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(</w:t>
      </w:r>
      <w:hyperlink r:id="rId6" w:history="1">
        <w:r w:rsidRPr="00FF0F01">
          <w:rPr>
            <w:rStyle w:val="Collegamentoipertestuale"/>
            <w:rFonts w:eastAsiaTheme="minorHAnsi"/>
            <w:b/>
            <w:bCs/>
            <w:sz w:val="24"/>
            <w:szCs w:val="24"/>
            <w:lang w:eastAsia="it-IT"/>
          </w:rPr>
          <w:t>vai al testo della ricerca</w:t>
        </w:r>
      </w:hyperlink>
      <w:bookmarkStart w:id="0" w:name="_GoBack"/>
      <w:bookmarkEnd w:id="0"/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 xml:space="preserve">) </w:t>
      </w: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il nostro settore produttivo non è stato assolutamente sostenuto da una domanda interna in grado di alimentarne adeguati livelli di produzione. Di tale supporto interno hanno potuto godere altri paesi UE come Germania, Francia, Regno Unito e anche Spagna. Riteniamo di aver individuato le motivazioni di questi andamenti da alcuni dati statistici forniti da </w:t>
      </w:r>
      <w:proofErr w:type="spellStart"/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Eurostat</w:t>
      </w:r>
      <w:proofErr w:type="spellEnd"/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. La </w:t>
      </w:r>
      <w:proofErr w:type="spellStart"/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Tab</w:t>
      </w:r>
      <w:proofErr w:type="spellEnd"/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. 1- fornisce l’andamento, dal 2007 al 2013, del rapporto tra il monte “redditi da lavoro dipendente” ed il PIL nei 5 paesi UE più importanti.</w:t>
      </w:r>
    </w:p>
    <w:p w:rsidR="00FF0F01" w:rsidRDefault="00FF0F01" w:rsidP="00FF0F01">
      <w:pPr>
        <w:keepNext/>
        <w:spacing w:before="240" w:after="60"/>
        <w:jc w:val="both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Nel 2007, in Italia i lavoratori dipendenti aggregavano redditi pari al 40,7 % del PIL. Negli altri 4 paesi il dato superava il nostro dai 7 punti della Spagna (47,9%), ai quasi 9 punti  della Germania (48,9%), agli 11 della Francia (51,8%)  ai 13 punti della Gran Bretagna. La media UE si attestava al 48,1 % del PIL complessivo.</w:t>
      </w:r>
    </w:p>
    <w:p w:rsidR="00FF0F01" w:rsidRDefault="00FF0F01" w:rsidP="00FF0F01">
      <w:pPr>
        <w:keepNext/>
        <w:spacing w:before="240" w:after="60"/>
        <w:jc w:val="both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Nel 2013, i redditi da lavoro dipendente in Italia sono passati dal 40,7 al 42,7 del PIL; la Germania sale al 51,7%, la Francia al 53,3 % e la Gran Bretagna al 53,7%. La Spagna, arretra sul 2007 collocandosi al 45,5%, con 3 punti superiore al ns. 42,7%.</w:t>
      </w:r>
    </w:p>
    <w:p w:rsidR="00FF0F01" w:rsidRDefault="00FF0F01" w:rsidP="00FF0F01">
      <w:pPr>
        <w:spacing w:line="405" w:lineRule="atLeast"/>
        <w:jc w:val="center"/>
        <w:rPr>
          <w:rFonts w:ascii="Century Gothic" w:hAnsi="Century Gothic"/>
          <w:color w:val="000000"/>
          <w:sz w:val="20"/>
          <w:szCs w:val="20"/>
          <w:lang w:eastAsia="it-IT"/>
        </w:rPr>
      </w:pPr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 xml:space="preserve">TAB.1-Redditi lavoro dipendente in % del </w:t>
      </w:r>
      <w:proofErr w:type="spellStart"/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>PIL.Andamento</w:t>
      </w:r>
      <w:proofErr w:type="spellEnd"/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 xml:space="preserve"> 2007-2013. Fonte </w:t>
      </w:r>
      <w:proofErr w:type="spellStart"/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>Eurostat</w:t>
      </w:r>
      <w:proofErr w:type="spellEnd"/>
    </w:p>
    <w:p w:rsidR="00FF0F01" w:rsidRDefault="00FF0F01" w:rsidP="00FF0F01">
      <w:pPr>
        <w:spacing w:line="311" w:lineRule="atLeast"/>
        <w:jc w:val="center"/>
        <w:rPr>
          <w:rFonts w:ascii="Century Gothic" w:hAnsi="Century Gothic"/>
          <w:color w:val="000000"/>
          <w:sz w:val="20"/>
          <w:szCs w:val="20"/>
          <w:lang w:eastAsia="it-IT"/>
        </w:rPr>
      </w:pPr>
      <w:r>
        <w:rPr>
          <w:rFonts w:ascii="Century Gothic" w:hAnsi="Century Gothic"/>
          <w:b/>
          <w:bCs/>
          <w:color w:val="000000"/>
          <w:sz w:val="20"/>
          <w:szCs w:val="20"/>
          <w:lang w:eastAsia="it-IT"/>
        </w:rPr>
        <w:t> </w:t>
      </w:r>
    </w:p>
    <w:tbl>
      <w:tblPr>
        <w:tblW w:w="0" w:type="auto"/>
        <w:jc w:val="center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7"/>
        <w:gridCol w:w="1004"/>
        <w:gridCol w:w="999"/>
        <w:gridCol w:w="999"/>
        <w:gridCol w:w="1000"/>
        <w:gridCol w:w="999"/>
        <w:gridCol w:w="1000"/>
        <w:gridCol w:w="1000"/>
      </w:tblGrid>
      <w:tr w:rsidR="00FF0F01" w:rsidTr="00FF0F01">
        <w:trPr>
          <w:trHeight w:val="525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311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2007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2013</w:t>
            </w:r>
          </w:p>
        </w:tc>
      </w:tr>
      <w:tr w:rsidR="00FF0F01" w:rsidTr="00FF0F01">
        <w:trPr>
          <w:trHeight w:val="68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68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UE (28 paesi)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68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48.1 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68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48.8 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68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50.2 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68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49.4 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68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49.1 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68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49.5 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68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49.3 </w:t>
            </w:r>
          </w:p>
        </w:tc>
      </w:tr>
      <w:tr w:rsidR="00FF0F01" w:rsidTr="00FF0F01">
        <w:trPr>
          <w:trHeight w:val="71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71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Area dell'euro (18 p.)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71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47.4 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71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48.3 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71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49.9 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71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49.2 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71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49.0 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71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49.2 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71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49.1 </w:t>
            </w:r>
          </w:p>
        </w:tc>
      </w:tr>
      <w:tr w:rsidR="00FF0F01" w:rsidTr="00FF0F01">
        <w:trPr>
          <w:trHeight w:val="59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59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Italia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40.7 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41.8 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42.8 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42.4 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42.4 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42.7 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42.7 </w:t>
            </w:r>
          </w:p>
        </w:tc>
      </w:tr>
      <w:tr w:rsidR="00FF0F01" w:rsidTr="00FF0F01">
        <w:trPr>
          <w:trHeight w:val="59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59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Francia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51.8 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52.1 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53.6 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53.3 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53.2 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53.4 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53.3 </w:t>
            </w:r>
          </w:p>
        </w:tc>
      </w:tr>
      <w:tr w:rsidR="00FF0F01" w:rsidTr="00FF0F01">
        <w:trPr>
          <w:trHeight w:val="84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84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Germania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84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48.9 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84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49.7 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84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51.9 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84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50.8 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84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50.7 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84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51.6 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84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51.7 </w:t>
            </w:r>
          </w:p>
        </w:tc>
      </w:tr>
      <w:tr w:rsidR="00FF0F01" w:rsidTr="00FF0F01">
        <w:trPr>
          <w:trHeight w:val="59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59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Gran Bretagna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53.1 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53.1 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55.0 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54.0 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53.4 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53.9 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53.7 </w:t>
            </w:r>
          </w:p>
        </w:tc>
      </w:tr>
      <w:tr w:rsidR="00FF0F01" w:rsidTr="00FF0F01">
        <w:trPr>
          <w:trHeight w:val="59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59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Spagna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47.9 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49.4 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50.1 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49.2 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48.8 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46.9 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45.5 </w:t>
            </w:r>
          </w:p>
        </w:tc>
      </w:tr>
    </w:tbl>
    <w:p w:rsidR="00FF0F01" w:rsidRDefault="00FF0F01" w:rsidP="00FF0F01">
      <w:pPr>
        <w:spacing w:after="200" w:line="311" w:lineRule="atLeast"/>
        <w:jc w:val="both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000000"/>
          <w:sz w:val="20"/>
          <w:szCs w:val="20"/>
          <w:lang w:eastAsia="it-IT"/>
        </w:rPr>
        <w:t> </w:t>
      </w: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 xml:space="preserve">Stiamo quindi parlando di decine di miliardi di euro (per la Spagna) e centinaia (per Francia, Germania e Gran Bretagna) a sostegno della rispettiva domanda </w:t>
      </w: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lastRenderedPageBreak/>
        <w:t>interna in quanto redditi per le famiglie. E’ questo l’effetto della politica ottusa e sconsiderata adottata in per tenere basse o nulle le richieste di adeguamento di salari e stipendi di operai e impiegati del settore sia privato che pubblico negli ultimi 15 anni.  E’ possibile avere verifica di quanto affermato. La </w:t>
      </w:r>
      <w:proofErr w:type="spellStart"/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Tab</w:t>
      </w:r>
      <w:proofErr w:type="spellEnd"/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. 2  mostra l’andamento 2007-2013 della spesa per consumi finali delle famiglie dei 5 paesi monitorati. A fronte di un ns. modesto + 3,4 %, in Germania la spesa delle famiglie è cresciuta quasi del 16 %, in Francia dell’11; in Gran Bretagna si è  assistito ad un calo (-5%),compensato da un abbattimento della tassazione a carico del settore produttivo, operata a fronte di drastica riduzione dei dipendenti pubblici (circa 500mila licenziati). Motivazione simile inglesi per andamento Spagna.</w:t>
      </w:r>
    </w:p>
    <w:p w:rsidR="00FF0F01" w:rsidRDefault="00FF0F01" w:rsidP="00FF0F01">
      <w:pPr>
        <w:spacing w:line="311" w:lineRule="atLeast"/>
        <w:jc w:val="center"/>
        <w:rPr>
          <w:rFonts w:ascii="Century Gothic" w:hAnsi="Century Gothic"/>
          <w:color w:val="000000"/>
          <w:sz w:val="20"/>
          <w:szCs w:val="20"/>
          <w:lang w:eastAsia="it-IT"/>
        </w:rPr>
      </w:pPr>
      <w:proofErr w:type="spellStart"/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>Tab</w:t>
      </w:r>
      <w:proofErr w:type="spellEnd"/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>. 2 - Spesa per consumi finali famiglie ed istituzioni senza scopo di lucro al servizio delle famiglie Andamento 2007-2013.  Fonte </w:t>
      </w:r>
      <w:proofErr w:type="spellStart"/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>Eurostat</w:t>
      </w:r>
      <w:proofErr w:type="spellEnd"/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 xml:space="preserve"> (Miliardi di euro)</w:t>
      </w:r>
    </w:p>
    <w:p w:rsidR="00FF0F01" w:rsidRDefault="00FF0F01" w:rsidP="00FF0F01">
      <w:pPr>
        <w:spacing w:line="311" w:lineRule="atLeast"/>
        <w:jc w:val="center"/>
        <w:rPr>
          <w:rFonts w:ascii="Century Gothic" w:hAnsi="Century Gothic"/>
          <w:color w:val="000000"/>
          <w:sz w:val="20"/>
          <w:szCs w:val="20"/>
          <w:lang w:eastAsia="it-IT"/>
        </w:rPr>
      </w:pPr>
      <w:r>
        <w:rPr>
          <w:rFonts w:ascii="Century Gothic" w:hAnsi="Century Gothic"/>
          <w:b/>
          <w:bCs/>
          <w:color w:val="000000"/>
          <w:sz w:val="20"/>
          <w:szCs w:val="20"/>
          <w:lang w:eastAsia="it-IT"/>
        </w:rPr>
        <w:t> </w:t>
      </w:r>
    </w:p>
    <w:tbl>
      <w:tblPr>
        <w:tblW w:w="5089" w:type="pct"/>
        <w:jc w:val="center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5"/>
        <w:gridCol w:w="982"/>
        <w:gridCol w:w="982"/>
        <w:gridCol w:w="982"/>
        <w:gridCol w:w="982"/>
        <w:gridCol w:w="982"/>
        <w:gridCol w:w="982"/>
        <w:gridCol w:w="982"/>
        <w:gridCol w:w="1424"/>
      </w:tblGrid>
      <w:tr w:rsidR="00FF0F01" w:rsidTr="00FF0F01">
        <w:trPr>
          <w:trHeight w:val="525"/>
          <w:tblCellSpacing w:w="0" w:type="dxa"/>
          <w:jc w:val="center"/>
        </w:trPr>
        <w:tc>
          <w:tcPr>
            <w:tcW w:w="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311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hideMark/>
          </w:tcPr>
          <w:p w:rsidR="00FF0F01" w:rsidRDefault="00FF0F01">
            <w:pPr>
              <w:spacing w:line="311" w:lineRule="atLeast"/>
              <w:ind w:right="136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Differenza %</w:t>
            </w:r>
          </w:p>
          <w:p w:rsidR="00FF0F01" w:rsidRDefault="00FF0F01">
            <w:pPr>
              <w:spacing w:line="311" w:lineRule="atLeast"/>
              <w:ind w:right="136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2013/2007</w:t>
            </w:r>
          </w:p>
        </w:tc>
      </w:tr>
      <w:tr w:rsidR="00FF0F01" w:rsidTr="00FF0F01">
        <w:trPr>
          <w:trHeight w:val="115"/>
          <w:tblCellSpacing w:w="0" w:type="dxa"/>
          <w:jc w:val="center"/>
        </w:trPr>
        <w:tc>
          <w:tcPr>
            <w:tcW w:w="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Italia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911,025 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932,007 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916,594 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943,963 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968,033 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954,700 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941,988 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ind w:right="136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+ 3,4 %</w:t>
            </w:r>
          </w:p>
        </w:tc>
      </w:tr>
      <w:tr w:rsidR="00FF0F01" w:rsidTr="00FF0F01">
        <w:trPr>
          <w:trHeight w:val="53"/>
          <w:tblCellSpacing w:w="0" w:type="dxa"/>
          <w:jc w:val="center"/>
        </w:trPr>
        <w:tc>
          <w:tcPr>
            <w:tcW w:w="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Francia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1.065,936 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1.099,649 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1.095,663 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1.125,082 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1,155,264 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1.172,277 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1.183,526 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ind w:right="136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+ 11,0 %</w:t>
            </w:r>
          </w:p>
        </w:tc>
      </w:tr>
      <w:tr w:rsidR="00FF0F01" w:rsidTr="00FF0F01">
        <w:trPr>
          <w:trHeight w:val="53"/>
          <w:tblCellSpacing w:w="0" w:type="dxa"/>
          <w:jc w:val="center"/>
        </w:trPr>
        <w:tc>
          <w:tcPr>
            <w:tcW w:w="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Germania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1.356,730 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1.389,620 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1.392,570 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1.435,090 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1,498,350 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1.533,870 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1.573,090 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ind w:right="136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+ 15,9 %</w:t>
            </w:r>
          </w:p>
        </w:tc>
      </w:tr>
      <w:tr w:rsidR="00FF0F01" w:rsidTr="00FF0F01">
        <w:trPr>
          <w:trHeight w:val="53"/>
          <w:tblCellSpacing w:w="0" w:type="dxa"/>
          <w:jc w:val="center"/>
        </w:trPr>
        <w:tc>
          <w:tcPr>
            <w:tcW w:w="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Gr. Bretagna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1.327,625 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1.166,157 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1.023,992 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1.117,453 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1,143,406 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1.263,891 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1.261,037 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ind w:right="136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- </w:t>
            </w:r>
            <w:r>
              <w:rPr>
                <w:rFonts w:ascii="Century Gothic" w:hAnsi="Century Gothic"/>
                <w:sz w:val="20"/>
                <w:szCs w:val="20"/>
              </w:rPr>
              <w:t>5,0 %</w:t>
            </w:r>
          </w:p>
        </w:tc>
      </w:tr>
      <w:tr w:rsidR="00FF0F01" w:rsidTr="00FF0F01">
        <w:trPr>
          <w:trHeight w:val="53"/>
          <w:tblCellSpacing w:w="0" w:type="dxa"/>
          <w:jc w:val="center"/>
        </w:trPr>
        <w:tc>
          <w:tcPr>
            <w:tcW w:w="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Spagna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604,654 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622,368 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592,770 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605,104 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612,826 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610,639 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606,096 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ind w:right="136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+ 0,2 %</w:t>
            </w:r>
          </w:p>
        </w:tc>
      </w:tr>
    </w:tbl>
    <w:p w:rsidR="00FF0F01" w:rsidRDefault="00FF0F01" w:rsidP="00FF0F01">
      <w:pPr>
        <w:spacing w:after="200" w:line="405" w:lineRule="atLeast"/>
        <w:jc w:val="both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Nel 2013 i consumi pari a 941,9 miliardi di euro, sono stati inferiori a quelli del 2010 (943,9 mld) a dimostrazione della crisi dei consumi e della grave sofferenze delle famiglie.</w:t>
      </w:r>
    </w:p>
    <w:tbl>
      <w:tblPr>
        <w:tblW w:w="5089" w:type="pct"/>
        <w:jc w:val="center"/>
        <w:tblInd w:w="-1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7"/>
        <w:gridCol w:w="1416"/>
        <w:gridCol w:w="2371"/>
        <w:gridCol w:w="1384"/>
        <w:gridCol w:w="1151"/>
      </w:tblGrid>
      <w:tr w:rsidR="00FF0F01" w:rsidTr="00FF0F01">
        <w:trPr>
          <w:trHeight w:val="483"/>
          <w:jc w:val="center"/>
        </w:trPr>
        <w:tc>
          <w:tcPr>
            <w:tcW w:w="1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DEBITO PUBBLICO</w:t>
            </w:r>
          </w:p>
          <w:p w:rsidR="00FF0F01" w:rsidRDefault="00FF0F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 miliardi di €</w:t>
            </w:r>
          </w:p>
        </w:tc>
        <w:tc>
          <w:tcPr>
            <w:tcW w:w="11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AUMENTO del DEBITO in miliardi (in parentesi l’aumento medio mensile)</w:t>
            </w:r>
          </w:p>
        </w:tc>
        <w:tc>
          <w:tcPr>
            <w:tcW w:w="6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Debito pro capite a fine mandato in €</w:t>
            </w:r>
          </w:p>
        </w:tc>
        <w:tc>
          <w:tcPr>
            <w:tcW w:w="57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Maggior debito pro capite in €</w:t>
            </w: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GOVERNO LETTA  (da fine aprile 2013)  (10 mesi)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/>
              <w:ind w:right="-16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Debito aprile 2013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2.041,293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/>
              <w:ind w:right="-16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Debito Febbraio 2014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2.107,157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/>
              <w:ind w:right="-16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+ 65,864 mld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(6,5  mld/mese)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35.354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+ 1.105</w:t>
            </w: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/>
              <w:ind w:right="-16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GOVERNO RENZI (da fine febbraio 2014) (9 mesi)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ind w:right="20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Debito febbraio 2014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2.107,157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ind w:right="20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Debito novembre 2014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2.160,114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+52,975mld  </w:t>
            </w:r>
            <w:r>
              <w:rPr>
                <w:b/>
                <w:bCs/>
                <w:sz w:val="20"/>
                <w:szCs w:val="20"/>
              </w:rPr>
              <w:t>(5,9 mld/mese)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36.243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+ 888</w:t>
            </w:r>
          </w:p>
        </w:tc>
      </w:tr>
    </w:tbl>
    <w:p w:rsidR="00FF0F01" w:rsidRDefault="00FF0F01" w:rsidP="00FF0F01">
      <w:pPr>
        <w:spacing w:after="200" w:line="276" w:lineRule="auto"/>
        <w:jc w:val="both"/>
        <w:rPr>
          <w:sz w:val="28"/>
          <w:szCs w:val="28"/>
        </w:rPr>
      </w:pPr>
    </w:p>
    <w:p w:rsidR="00FF0F01" w:rsidRDefault="00FF0F01" w:rsidP="00FF0F01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                                Elio Lannutti (Adusbef) - Rosario Trefiletti (Federconsumatori)</w:t>
      </w:r>
    </w:p>
    <w:p w:rsidR="00FF0F01" w:rsidRDefault="00FF0F01" w:rsidP="00FF0F01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Roma, 17-1-2015 </w:t>
      </w:r>
    </w:p>
    <w:p w:rsidR="00C200C3" w:rsidRDefault="00C200C3"/>
    <w:sectPr w:rsidR="00C200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F01"/>
    <w:rsid w:val="00073741"/>
    <w:rsid w:val="00130235"/>
    <w:rsid w:val="001A3C40"/>
    <w:rsid w:val="001D07B7"/>
    <w:rsid w:val="001D0D71"/>
    <w:rsid w:val="002E4C34"/>
    <w:rsid w:val="00370059"/>
    <w:rsid w:val="00424BEE"/>
    <w:rsid w:val="004B0A7D"/>
    <w:rsid w:val="004B75D8"/>
    <w:rsid w:val="004F322C"/>
    <w:rsid w:val="005057D6"/>
    <w:rsid w:val="00535F48"/>
    <w:rsid w:val="005F3BF0"/>
    <w:rsid w:val="00632BCB"/>
    <w:rsid w:val="007339EC"/>
    <w:rsid w:val="00754201"/>
    <w:rsid w:val="00873879"/>
    <w:rsid w:val="0094402A"/>
    <w:rsid w:val="0098615F"/>
    <w:rsid w:val="009B4EA1"/>
    <w:rsid w:val="00A42182"/>
    <w:rsid w:val="00B03057"/>
    <w:rsid w:val="00B35AE5"/>
    <w:rsid w:val="00B90F78"/>
    <w:rsid w:val="00B93CCA"/>
    <w:rsid w:val="00C200C3"/>
    <w:rsid w:val="00C55771"/>
    <w:rsid w:val="00C76E16"/>
    <w:rsid w:val="00C848D3"/>
    <w:rsid w:val="00D05D56"/>
    <w:rsid w:val="00D07FAE"/>
    <w:rsid w:val="00D136AC"/>
    <w:rsid w:val="00D709E1"/>
    <w:rsid w:val="00DB5BBF"/>
    <w:rsid w:val="00E612FB"/>
    <w:rsid w:val="00EE7D98"/>
    <w:rsid w:val="00F43ED9"/>
    <w:rsid w:val="00FF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F0F01"/>
    <w:pPr>
      <w:spacing w:before="0" w:after="0"/>
      <w:jc w:val="left"/>
    </w:pPr>
    <w:rPr>
      <w:rFonts w:ascii="Calibri" w:hAnsi="Calibri"/>
      <w:bCs w:val="0"/>
      <w:iCs w:val="0"/>
      <w:kern w:val="0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ascii="Century Gothic" w:hAnsi="Century Gothic" w:cs="Century Gothic"/>
      <w:b/>
      <w:bCs/>
      <w:color w:val="17365D" w:themeColor="text2" w:themeShade="BF"/>
      <w:sz w:val="32"/>
      <w:szCs w:val="32"/>
      <w:lang w:eastAsia="it-IT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ascii="Century Gothic" w:eastAsiaTheme="minorEastAsia" w:hAnsi="Century Gothic" w:cs="Century Gothic"/>
      <w:b/>
      <w:bCs/>
      <w:iCs/>
      <w:color w:val="17365D" w:themeColor="text2" w:themeShade="BF"/>
      <w:kern w:val="36"/>
      <w:sz w:val="28"/>
      <w:szCs w:val="1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ascii="Century Gothic" w:hAnsi="Century Gothic" w:cs="Century Gothic"/>
      <w:b/>
      <w:bCs/>
      <w:color w:val="17365D" w:themeColor="text2" w:themeShade="BF"/>
      <w:sz w:val="24"/>
      <w:szCs w:val="24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outlineLvl w:val="3"/>
    </w:pPr>
    <w:rPr>
      <w:rFonts w:ascii="Century Gothic" w:hAnsi="Century Gothic"/>
      <w:b/>
      <w:bCs/>
      <w:color w:val="17365D" w:themeColor="text2" w:themeShade="BF"/>
      <w:sz w:val="24"/>
      <w:szCs w:val="28"/>
      <w:lang w:eastAsia="it-IT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jc w:val="both"/>
      <w:outlineLvl w:val="5"/>
    </w:pPr>
    <w:rPr>
      <w:rFonts w:ascii="Times New Roman" w:hAnsi="Times New Roman"/>
      <w:b/>
      <w:bCs/>
      <w:color w:val="17365D" w:themeColor="text2" w:themeShade="BF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  <w:jc w:val="both"/>
    </w:pPr>
    <w:rPr>
      <w:rFonts w:ascii="Century Gothic" w:eastAsia="Times New Roman" w:hAnsi="Century Gothic" w:cs="Century Gothic"/>
      <w:bCs/>
      <w:iCs/>
      <w:color w:val="17365D" w:themeColor="text2" w:themeShade="BF"/>
      <w:kern w:val="36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ascii="Century Gothic" w:hAnsi="Century Gothic" w:cs="Arial"/>
      <w:b/>
      <w:bCs/>
      <w:color w:val="17365D" w:themeColor="text2" w:themeShade="BF"/>
      <w:sz w:val="34"/>
      <w:szCs w:val="3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before="120" w:after="120"/>
      <w:ind w:left="600" w:firstLine="567"/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  <w:jc w:val="both"/>
    </w:pPr>
    <w:rPr>
      <w:rFonts w:ascii="Century Gothic" w:hAnsi="Century Gothic" w:cs="Century Gothic"/>
      <w:color w:val="17365D" w:themeColor="text2" w:themeShade="BF"/>
      <w:sz w:val="24"/>
      <w:szCs w:val="24"/>
      <w:lang w:eastAsia="it-IT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before="120" w:after="120"/>
      <w:ind w:right="-2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before="120" w:after="120"/>
      <w:ind w:left="44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before="120" w:after="12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before="120" w:after="12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before="120" w:after="12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before="120" w:after="120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before="120" w:after="120"/>
      <w:ind w:left="480"/>
      <w:jc w:val="both"/>
    </w:pPr>
    <w:rPr>
      <w:rFonts w:ascii="Century Gothic" w:hAnsi="Century Gothic"/>
      <w:color w:val="FF0000"/>
      <w:sz w:val="18"/>
      <w:szCs w:val="18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before="120" w:after="120"/>
      <w:jc w:val="both"/>
    </w:pPr>
    <w:rPr>
      <w:color w:val="17365D" w:themeColor="text2" w:themeShade="BF"/>
      <w:sz w:val="24"/>
      <w:szCs w:val="21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before="120" w:after="120"/>
      <w:jc w:val="both"/>
    </w:pPr>
    <w:rPr>
      <w:rFonts w:ascii="Tahoma" w:hAnsi="Tahoma" w:cs="Tahoma"/>
      <w:color w:val="17365D" w:themeColor="text2" w:themeShade="BF"/>
      <w:sz w:val="24"/>
      <w:szCs w:val="24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basedOn w:val="Normale"/>
    <w:uiPriority w:val="1"/>
    <w:qFormat/>
    <w:rsid w:val="00130235"/>
    <w:pPr>
      <w:spacing w:before="120" w:after="120"/>
      <w:ind w:left="2160"/>
      <w:jc w:val="both"/>
    </w:pPr>
    <w:rPr>
      <w:rFonts w:ascii="Century Gothic" w:hAnsi="Century Gothic"/>
      <w:color w:val="0F243E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30235"/>
    <w:pPr>
      <w:spacing w:before="120" w:after="120"/>
      <w:ind w:left="720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F0F01"/>
    <w:pPr>
      <w:spacing w:before="0" w:after="0"/>
      <w:jc w:val="left"/>
    </w:pPr>
    <w:rPr>
      <w:rFonts w:ascii="Calibri" w:hAnsi="Calibri"/>
      <w:bCs w:val="0"/>
      <w:iCs w:val="0"/>
      <w:kern w:val="0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ascii="Century Gothic" w:hAnsi="Century Gothic" w:cs="Century Gothic"/>
      <w:b/>
      <w:bCs/>
      <w:color w:val="17365D" w:themeColor="text2" w:themeShade="BF"/>
      <w:sz w:val="32"/>
      <w:szCs w:val="32"/>
      <w:lang w:eastAsia="it-IT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ascii="Century Gothic" w:eastAsiaTheme="minorEastAsia" w:hAnsi="Century Gothic" w:cs="Century Gothic"/>
      <w:b/>
      <w:bCs/>
      <w:iCs/>
      <w:color w:val="17365D" w:themeColor="text2" w:themeShade="BF"/>
      <w:kern w:val="36"/>
      <w:sz w:val="28"/>
      <w:szCs w:val="1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ascii="Century Gothic" w:hAnsi="Century Gothic" w:cs="Century Gothic"/>
      <w:b/>
      <w:bCs/>
      <w:color w:val="17365D" w:themeColor="text2" w:themeShade="BF"/>
      <w:sz w:val="24"/>
      <w:szCs w:val="24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outlineLvl w:val="3"/>
    </w:pPr>
    <w:rPr>
      <w:rFonts w:ascii="Century Gothic" w:hAnsi="Century Gothic"/>
      <w:b/>
      <w:bCs/>
      <w:color w:val="17365D" w:themeColor="text2" w:themeShade="BF"/>
      <w:sz w:val="24"/>
      <w:szCs w:val="28"/>
      <w:lang w:eastAsia="it-IT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jc w:val="both"/>
      <w:outlineLvl w:val="5"/>
    </w:pPr>
    <w:rPr>
      <w:rFonts w:ascii="Times New Roman" w:hAnsi="Times New Roman"/>
      <w:b/>
      <w:bCs/>
      <w:color w:val="17365D" w:themeColor="text2" w:themeShade="BF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  <w:jc w:val="both"/>
    </w:pPr>
    <w:rPr>
      <w:rFonts w:ascii="Century Gothic" w:eastAsia="Times New Roman" w:hAnsi="Century Gothic" w:cs="Century Gothic"/>
      <w:bCs/>
      <w:iCs/>
      <w:color w:val="17365D" w:themeColor="text2" w:themeShade="BF"/>
      <w:kern w:val="36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ascii="Century Gothic" w:hAnsi="Century Gothic" w:cs="Arial"/>
      <w:b/>
      <w:bCs/>
      <w:color w:val="17365D" w:themeColor="text2" w:themeShade="BF"/>
      <w:sz w:val="34"/>
      <w:szCs w:val="3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before="120" w:after="120"/>
      <w:ind w:left="600" w:firstLine="567"/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  <w:jc w:val="both"/>
    </w:pPr>
    <w:rPr>
      <w:rFonts w:ascii="Century Gothic" w:hAnsi="Century Gothic" w:cs="Century Gothic"/>
      <w:color w:val="17365D" w:themeColor="text2" w:themeShade="BF"/>
      <w:sz w:val="24"/>
      <w:szCs w:val="24"/>
      <w:lang w:eastAsia="it-IT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before="120" w:after="120"/>
      <w:ind w:right="-2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before="120" w:after="120"/>
      <w:ind w:left="44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before="120" w:after="12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before="120" w:after="12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before="120" w:after="12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before="120" w:after="120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before="120" w:after="120"/>
      <w:ind w:left="480"/>
      <w:jc w:val="both"/>
    </w:pPr>
    <w:rPr>
      <w:rFonts w:ascii="Century Gothic" w:hAnsi="Century Gothic"/>
      <w:color w:val="FF0000"/>
      <w:sz w:val="18"/>
      <w:szCs w:val="18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before="120" w:after="120"/>
      <w:jc w:val="both"/>
    </w:pPr>
    <w:rPr>
      <w:color w:val="17365D" w:themeColor="text2" w:themeShade="BF"/>
      <w:sz w:val="24"/>
      <w:szCs w:val="21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before="120" w:after="120"/>
      <w:jc w:val="both"/>
    </w:pPr>
    <w:rPr>
      <w:rFonts w:ascii="Tahoma" w:hAnsi="Tahoma" w:cs="Tahoma"/>
      <w:color w:val="17365D" w:themeColor="text2" w:themeShade="BF"/>
      <w:sz w:val="24"/>
      <w:szCs w:val="24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basedOn w:val="Normale"/>
    <w:uiPriority w:val="1"/>
    <w:qFormat/>
    <w:rsid w:val="00130235"/>
    <w:pPr>
      <w:spacing w:before="120" w:after="120"/>
      <w:ind w:left="2160"/>
      <w:jc w:val="both"/>
    </w:pPr>
    <w:rPr>
      <w:rFonts w:ascii="Century Gothic" w:hAnsi="Century Gothic"/>
      <w:color w:val="0F243E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30235"/>
    <w:pPr>
      <w:spacing w:before="120" w:after="120"/>
      <w:ind w:left="720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6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uronovelli.it/PuntO%20304%20Redditi%20dipendenti%20e%20domanda%20interna.%2013-1-2015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805</Words>
  <Characters>4590</Characters>
  <Application>Microsoft Office Word</Application>
  <DocSecurity>0</DocSecurity>
  <Lines>38</Lines>
  <Paragraphs>10</Paragraphs>
  <ScaleCrop>false</ScaleCrop>
  <Company/>
  <LinksUpToDate>false</LinksUpToDate>
  <CharactersWithSpaces>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1</cp:revision>
  <dcterms:created xsi:type="dcterms:W3CDTF">2015-01-19T08:56:00Z</dcterms:created>
  <dcterms:modified xsi:type="dcterms:W3CDTF">2015-01-19T09:06:00Z</dcterms:modified>
</cp:coreProperties>
</file>