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E9D9"/>
        <w:tblLook w:val="04A0" w:firstRow="1" w:lastRow="0" w:firstColumn="1" w:lastColumn="0" w:noHBand="0" w:noVBand="1"/>
      </w:tblPr>
      <w:tblGrid>
        <w:gridCol w:w="221"/>
        <w:gridCol w:w="9980"/>
        <w:gridCol w:w="221"/>
      </w:tblGrid>
      <w:tr w:rsidR="009E56BC" w:rsidTr="00EE7D44">
        <w:trPr>
          <w:trHeight w:val="156"/>
        </w:trPr>
        <w:tc>
          <w:tcPr>
            <w:tcW w:w="106" w:type="pct"/>
            <w:vMerge w:val="restart"/>
            <w:tcBorders>
              <w:top w:val="double" w:sz="4" w:space="0" w:color="auto"/>
              <w:left w:val="double" w:sz="4" w:space="0" w:color="auto"/>
              <w:bottom w:val="double" w:sz="4" w:space="0" w:color="auto"/>
              <w:right w:val="single" w:sz="4" w:space="0" w:color="auto"/>
            </w:tcBorders>
            <w:shd w:val="clear" w:color="auto" w:fill="FFFFFF" w:themeFill="background1"/>
            <w:vAlign w:val="center"/>
            <w:hideMark/>
          </w:tcPr>
          <w:p w:rsidR="009E56BC" w:rsidRDefault="00EE7D44" w:rsidP="009E56BC">
            <w:pPr>
              <w:keepNext/>
              <w:spacing w:after="0"/>
              <w:ind w:right="-108"/>
              <w:outlineLvl w:val="0"/>
              <w:rPr>
                <w:rFonts w:ascii="Trebuchet MS" w:eastAsia="SimSun" w:hAnsi="Trebuchet MS" w:cs="Century Gothic"/>
                <w:bCs/>
                <w:color w:val="C00000"/>
                <w:kern w:val="32"/>
                <w:szCs w:val="30"/>
                <w:lang w:eastAsia="zh-CN"/>
              </w:rPr>
            </w:pPr>
            <w:r>
              <w:br w:type="page"/>
            </w:r>
            <w:r w:rsidR="009E56BC">
              <w:br w:type="page"/>
            </w:r>
          </w:p>
        </w:tc>
        <w:tc>
          <w:tcPr>
            <w:tcW w:w="47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E56BC" w:rsidRPr="009E56BC" w:rsidRDefault="009E56BC" w:rsidP="009E56BC">
            <w:pPr>
              <w:spacing w:after="0"/>
              <w:ind w:left="459" w:right="601"/>
              <w:jc w:val="left"/>
              <w:rPr>
                <w:rFonts w:eastAsia="SimSun" w:cs="Century Gothic"/>
                <w:sz w:val="32"/>
                <w:szCs w:val="28"/>
                <w:lang w:eastAsia="zh-CN"/>
              </w:rPr>
            </w:pPr>
          </w:p>
          <w:p w:rsidR="009E56BC" w:rsidRPr="009E56BC" w:rsidRDefault="009E56BC" w:rsidP="009E56BC">
            <w:pPr>
              <w:spacing w:after="0"/>
              <w:ind w:left="170" w:right="203"/>
              <w:jc w:val="center"/>
              <w:rPr>
                <w:rFonts w:eastAsia="SimSun" w:cs="Century Gothic"/>
                <w:color w:val="002060"/>
                <w:sz w:val="32"/>
                <w:szCs w:val="28"/>
                <w:lang w:eastAsia="zh-CN"/>
              </w:rPr>
            </w:pPr>
            <w:r w:rsidRPr="009E56BC">
              <w:rPr>
                <w:rFonts w:eastAsia="SimSun" w:cs="Century Gothic"/>
                <w:color w:val="002060"/>
                <w:sz w:val="32"/>
                <w:szCs w:val="28"/>
                <w:lang w:eastAsia="zh-CN"/>
              </w:rPr>
              <w:t>Il PuntO n° 298</w:t>
            </w:r>
          </w:p>
          <w:p w:rsidR="009E56BC" w:rsidRPr="009E56BC" w:rsidRDefault="009E56BC" w:rsidP="009E56BC">
            <w:pPr>
              <w:spacing w:after="0"/>
              <w:ind w:left="170" w:right="203"/>
              <w:jc w:val="center"/>
              <w:rPr>
                <w:rFonts w:eastAsia="SimSun" w:cs="Century Gothic"/>
                <w:color w:val="002060"/>
                <w:sz w:val="32"/>
                <w:szCs w:val="28"/>
                <w:lang w:eastAsia="zh-CN"/>
              </w:rPr>
            </w:pPr>
            <w:r w:rsidRPr="009E56BC">
              <w:rPr>
                <w:rFonts w:eastAsia="SimSun" w:cs="Century Gothic"/>
                <w:color w:val="002060"/>
                <w:sz w:val="32"/>
                <w:szCs w:val="28"/>
                <w:lang w:eastAsia="zh-CN"/>
              </w:rPr>
              <w:t xml:space="preserve">Petrolio e suoi derivati. Mercato di benzina e </w:t>
            </w:r>
            <w:r>
              <w:rPr>
                <w:rFonts w:eastAsia="SimSun" w:cs="Century Gothic"/>
                <w:color w:val="002060"/>
                <w:sz w:val="32"/>
                <w:szCs w:val="28"/>
                <w:lang w:eastAsia="zh-CN"/>
              </w:rPr>
              <w:t>g</w:t>
            </w:r>
            <w:r w:rsidRPr="009E56BC">
              <w:rPr>
                <w:rFonts w:eastAsia="SimSun" w:cs="Century Gothic"/>
                <w:color w:val="002060"/>
                <w:sz w:val="32"/>
                <w:szCs w:val="28"/>
                <w:lang w:eastAsia="zh-CN"/>
              </w:rPr>
              <w:t>asolio:</w:t>
            </w:r>
            <w:r>
              <w:rPr>
                <w:rFonts w:eastAsia="SimSun" w:cs="Century Gothic"/>
                <w:color w:val="002060"/>
                <w:sz w:val="32"/>
                <w:szCs w:val="28"/>
                <w:lang w:eastAsia="zh-CN"/>
              </w:rPr>
              <w:t xml:space="preserve"> </w:t>
            </w:r>
            <w:r w:rsidRPr="009E56BC">
              <w:rPr>
                <w:rFonts w:eastAsia="SimSun" w:cs="Century Gothic"/>
                <w:color w:val="002060"/>
                <w:sz w:val="32"/>
                <w:szCs w:val="28"/>
                <w:lang w:eastAsia="zh-CN"/>
              </w:rPr>
              <w:t>consumo, prezz</w:t>
            </w:r>
            <w:r>
              <w:rPr>
                <w:rFonts w:eastAsia="SimSun" w:cs="Century Gothic"/>
                <w:color w:val="002060"/>
                <w:sz w:val="32"/>
                <w:szCs w:val="28"/>
                <w:lang w:eastAsia="zh-CN"/>
              </w:rPr>
              <w:t xml:space="preserve">i, prezzi per Capacità di spesa, tassazione. </w:t>
            </w:r>
            <w:r w:rsidRPr="009E56BC">
              <w:rPr>
                <w:rFonts w:eastAsia="SimSun" w:cs="Century Gothic"/>
                <w:color w:val="002060"/>
                <w:sz w:val="32"/>
                <w:szCs w:val="28"/>
                <w:lang w:eastAsia="zh-CN"/>
              </w:rPr>
              <w:t>Comparazione del mercato di 5 paesi europei.</w:t>
            </w:r>
          </w:p>
          <w:p w:rsidR="009E56BC" w:rsidRPr="009E56BC" w:rsidRDefault="009E56BC" w:rsidP="009E56BC">
            <w:pPr>
              <w:spacing w:after="0"/>
              <w:ind w:left="459" w:right="601"/>
              <w:jc w:val="center"/>
              <w:rPr>
                <w:rFonts w:eastAsia="SimSun" w:cs="Century Gothic"/>
                <w:color w:val="002060"/>
                <w:sz w:val="32"/>
                <w:szCs w:val="28"/>
                <w:lang w:eastAsia="zh-CN"/>
              </w:rPr>
            </w:pPr>
          </w:p>
          <w:p w:rsidR="009E56BC" w:rsidRPr="009E56BC" w:rsidRDefault="009B46CC" w:rsidP="009E56BC">
            <w:pPr>
              <w:spacing w:after="0"/>
              <w:ind w:left="459" w:right="601"/>
              <w:jc w:val="center"/>
              <w:rPr>
                <w:rFonts w:eastAsia="SimSun" w:cs="Century Gothic"/>
                <w:color w:val="002060"/>
                <w:sz w:val="32"/>
                <w:szCs w:val="28"/>
                <w:lang w:eastAsia="zh-CN"/>
              </w:rPr>
            </w:pPr>
            <w:r>
              <w:rPr>
                <w:rFonts w:eastAsia="SimSun" w:cs="Century Gothic"/>
                <w:color w:val="002060"/>
                <w:sz w:val="32"/>
                <w:szCs w:val="28"/>
                <w:lang w:eastAsia="zh-CN"/>
              </w:rPr>
              <w:t xml:space="preserve">Di Mauro Novelli </w:t>
            </w:r>
            <w:bookmarkStart w:id="0" w:name="_GoBack"/>
            <w:bookmarkEnd w:id="0"/>
            <w:r>
              <w:rPr>
                <w:rFonts w:eastAsia="SimSun" w:cs="Century Gothic"/>
                <w:color w:val="002060"/>
                <w:sz w:val="32"/>
                <w:szCs w:val="28"/>
                <w:lang w:eastAsia="zh-CN"/>
              </w:rPr>
              <w:t>12</w:t>
            </w:r>
            <w:r w:rsidR="009E56BC" w:rsidRPr="009E56BC">
              <w:rPr>
                <w:rFonts w:eastAsia="SimSun" w:cs="Century Gothic"/>
                <w:color w:val="002060"/>
                <w:sz w:val="32"/>
                <w:szCs w:val="28"/>
                <w:lang w:eastAsia="zh-CN"/>
              </w:rPr>
              <w:t>-9-2014</w:t>
            </w:r>
          </w:p>
          <w:p w:rsidR="009E56BC" w:rsidRPr="009E56BC" w:rsidRDefault="009E56BC" w:rsidP="009E56BC">
            <w:pPr>
              <w:spacing w:after="0"/>
              <w:ind w:left="459" w:right="601"/>
              <w:jc w:val="center"/>
              <w:rPr>
                <w:rFonts w:eastAsia="SimSun" w:cs="Century Gothic"/>
                <w:color w:val="002060"/>
                <w:sz w:val="28"/>
                <w:szCs w:val="28"/>
                <w:lang w:eastAsia="zh-CN"/>
              </w:rPr>
            </w:pPr>
          </w:p>
          <w:p w:rsidR="009E56BC" w:rsidRPr="009E56BC" w:rsidRDefault="009E56BC" w:rsidP="009E56BC">
            <w:pPr>
              <w:spacing w:after="0"/>
              <w:ind w:left="459" w:right="601"/>
              <w:rPr>
                <w:rFonts w:eastAsia="SimSun" w:cs="Century Gothic"/>
                <w:color w:val="002060"/>
                <w:sz w:val="28"/>
                <w:szCs w:val="28"/>
                <w:lang w:eastAsia="zh-CN"/>
              </w:rPr>
            </w:pPr>
          </w:p>
          <w:tbl>
            <w:tblPr>
              <w:tblStyle w:val="Grigliatabella"/>
              <w:tblW w:w="0" w:type="auto"/>
              <w:tblLook w:val="04A0" w:firstRow="1" w:lastRow="0" w:firstColumn="1" w:lastColumn="0" w:noHBand="0" w:noVBand="1"/>
            </w:tblPr>
            <w:tblGrid>
              <w:gridCol w:w="2325"/>
              <w:gridCol w:w="709"/>
              <w:gridCol w:w="2268"/>
              <w:gridCol w:w="708"/>
              <w:gridCol w:w="3686"/>
            </w:tblGrid>
            <w:tr w:rsidR="009E56BC" w:rsidRPr="009E56BC" w:rsidTr="00E4143B">
              <w:tc>
                <w:tcPr>
                  <w:tcW w:w="2325"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9E56BC" w:rsidRPr="009E56BC" w:rsidRDefault="009E56BC" w:rsidP="009E56BC">
                  <w:pPr>
                    <w:spacing w:after="0" w:line="240" w:lineRule="auto"/>
                    <w:ind w:left="61"/>
                    <w:rPr>
                      <w:rFonts w:ascii="Century Gothic" w:hAnsi="Century Gothic"/>
                      <w:color w:val="002060"/>
                      <w:sz w:val="18"/>
                      <w:szCs w:val="20"/>
                      <w:lang w:eastAsia="en-US"/>
                    </w:rPr>
                  </w:pPr>
                  <w:r w:rsidRPr="009E56BC">
                    <w:rPr>
                      <w:rFonts w:ascii="Century Gothic" w:hAnsi="Century Gothic"/>
                      <w:color w:val="002060"/>
                      <w:sz w:val="18"/>
                      <w:szCs w:val="20"/>
                    </w:rPr>
                    <w:t>Rispetto a Francia e Germania la ns. politica industriale e fiscale è fallimentare.</w:t>
                  </w:r>
                </w:p>
              </w:tc>
              <w:tc>
                <w:tcPr>
                  <w:tcW w:w="709" w:type="dxa"/>
                  <w:tcBorders>
                    <w:top w:val="single" w:sz="4" w:space="0" w:color="FFFFFF" w:themeColor="background1"/>
                    <w:left w:val="single" w:sz="4" w:space="0" w:color="000000"/>
                    <w:bottom w:val="single" w:sz="4" w:space="0" w:color="FFFFFF" w:themeColor="background1"/>
                    <w:right w:val="single" w:sz="4" w:space="0" w:color="000000"/>
                  </w:tcBorders>
                </w:tcPr>
                <w:p w:rsidR="009E56BC" w:rsidRPr="009E56BC" w:rsidRDefault="009E56BC" w:rsidP="009E56BC">
                  <w:pPr>
                    <w:spacing w:after="0" w:line="240" w:lineRule="auto"/>
                    <w:ind w:left="459" w:right="601"/>
                    <w:rPr>
                      <w:rFonts w:ascii="Century Gothic" w:hAnsi="Century Gothic"/>
                      <w:color w:val="002060"/>
                      <w:sz w:val="18"/>
                      <w:szCs w:val="20"/>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9E56BC" w:rsidRPr="009E56BC" w:rsidRDefault="009E56BC" w:rsidP="009E56BC">
                  <w:pPr>
                    <w:spacing w:after="0" w:line="240" w:lineRule="auto"/>
                    <w:ind w:left="61"/>
                    <w:rPr>
                      <w:rFonts w:ascii="Century Gothic" w:hAnsi="Century Gothic"/>
                      <w:color w:val="002060"/>
                      <w:sz w:val="18"/>
                      <w:szCs w:val="20"/>
                      <w:lang w:eastAsia="en-US"/>
                    </w:rPr>
                  </w:pPr>
                  <w:r w:rsidRPr="009E56BC">
                    <w:rPr>
                      <w:rFonts w:ascii="Century Gothic" w:hAnsi="Century Gothic"/>
                      <w:color w:val="002060"/>
                      <w:sz w:val="18"/>
                      <w:szCs w:val="20"/>
                    </w:rPr>
                    <w:t>Il superbollo (1976-1997)  ha imposto agli automobilisti italiani oneri pesantissimi</w:t>
                  </w:r>
                </w:p>
              </w:tc>
              <w:tc>
                <w:tcPr>
                  <w:tcW w:w="708" w:type="dxa"/>
                  <w:tcBorders>
                    <w:top w:val="single" w:sz="4" w:space="0" w:color="FFFFFF" w:themeColor="background1"/>
                    <w:left w:val="single" w:sz="4" w:space="0" w:color="000000"/>
                    <w:bottom w:val="single" w:sz="4" w:space="0" w:color="FFFFFF" w:themeColor="background1"/>
                    <w:right w:val="single" w:sz="4" w:space="0" w:color="000000"/>
                  </w:tcBorders>
                </w:tcPr>
                <w:p w:rsidR="009E56BC" w:rsidRPr="009E56BC" w:rsidRDefault="009E56BC" w:rsidP="009E56BC">
                  <w:pPr>
                    <w:spacing w:after="0" w:line="240" w:lineRule="auto"/>
                    <w:ind w:left="459" w:right="601"/>
                    <w:rPr>
                      <w:rFonts w:ascii="Century Gothic" w:hAnsi="Century Gothic"/>
                      <w:color w:val="002060"/>
                      <w:sz w:val="18"/>
                      <w:szCs w:val="20"/>
                      <w:lang w:eastAsia="en-US"/>
                    </w:rPr>
                  </w:pPr>
                </w:p>
              </w:tc>
              <w:tc>
                <w:tcPr>
                  <w:tcW w:w="3686"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9E56BC" w:rsidRPr="009E56BC" w:rsidRDefault="009E56BC" w:rsidP="009E56BC">
                  <w:pPr>
                    <w:spacing w:after="0" w:line="240" w:lineRule="auto"/>
                    <w:ind w:left="61"/>
                    <w:rPr>
                      <w:rFonts w:ascii="Century Gothic" w:hAnsi="Century Gothic"/>
                      <w:color w:val="002060"/>
                      <w:sz w:val="18"/>
                      <w:szCs w:val="20"/>
                      <w:lang w:eastAsia="en-US"/>
                    </w:rPr>
                  </w:pPr>
                  <w:r w:rsidRPr="009E56BC">
                    <w:rPr>
                      <w:rFonts w:ascii="Century Gothic" w:hAnsi="Century Gothic"/>
                      <w:color w:val="002060"/>
                      <w:sz w:val="18"/>
                      <w:szCs w:val="20"/>
                    </w:rPr>
                    <w:t>Col declino del mercato della benzina, politica dei petrolieri e fisco si rifanno su gasolio sia per autotrazione che da riscaldamento</w:t>
                  </w:r>
                </w:p>
              </w:tc>
            </w:tr>
          </w:tbl>
          <w:p w:rsidR="009E56BC" w:rsidRPr="009E56BC" w:rsidRDefault="009E56BC" w:rsidP="009E56BC">
            <w:pPr>
              <w:spacing w:after="0"/>
              <w:ind w:left="459" w:right="601"/>
              <w:rPr>
                <w:rFonts w:eastAsia="SimSun" w:cs="Century Gothic"/>
                <w:color w:val="002060"/>
                <w:sz w:val="28"/>
                <w:szCs w:val="28"/>
                <w:lang w:eastAsia="zh-CN"/>
              </w:rPr>
            </w:pPr>
          </w:p>
          <w:p w:rsidR="009E56BC" w:rsidRPr="009E56BC" w:rsidRDefault="009E56BC" w:rsidP="009E56BC">
            <w:pPr>
              <w:spacing w:after="0"/>
              <w:ind w:left="459" w:right="601"/>
              <w:rPr>
                <w:rFonts w:eastAsia="SimSun" w:cs="Century Gothic"/>
                <w:color w:val="002060"/>
                <w:sz w:val="28"/>
                <w:szCs w:val="28"/>
                <w:lang w:eastAsia="zh-CN"/>
              </w:rPr>
            </w:pPr>
          </w:p>
          <w:sdt>
            <w:sdtPr>
              <w:rPr>
                <w:rFonts w:ascii="Century Gothic" w:eastAsiaTheme="minorHAnsi" w:hAnsi="Century Gothic" w:cstheme="minorBidi"/>
                <w:b w:val="0"/>
                <w:bCs w:val="0"/>
                <w:color w:val="auto"/>
                <w:sz w:val="22"/>
                <w:szCs w:val="22"/>
              </w:rPr>
              <w:id w:val="-1472211057"/>
              <w:docPartObj>
                <w:docPartGallery w:val="Table of Contents"/>
                <w:docPartUnique/>
              </w:docPartObj>
            </w:sdtPr>
            <w:sdtEndPr/>
            <w:sdtContent>
              <w:p w:rsidR="00E4143B" w:rsidRDefault="00E4143B" w:rsidP="008C2F5F">
                <w:pPr>
                  <w:pStyle w:val="Titolosommario"/>
                  <w:tabs>
                    <w:tab w:val="left" w:pos="9562"/>
                    <w:tab w:val="left" w:pos="10314"/>
                  </w:tabs>
                  <w:spacing w:before="0" w:line="240" w:lineRule="auto"/>
                  <w:jc w:val="center"/>
                  <w:rPr>
                    <w:sz w:val="18"/>
                  </w:rPr>
                </w:pPr>
                <w:r w:rsidRPr="00E4143B">
                  <w:rPr>
                    <w:sz w:val="18"/>
                  </w:rPr>
                  <w:t>Sommario</w:t>
                </w:r>
              </w:p>
              <w:p w:rsidR="008C2F5F" w:rsidRPr="008C2F5F" w:rsidRDefault="008C2F5F" w:rsidP="008C2F5F"/>
              <w:p w:rsidR="00E4143B" w:rsidRPr="00E4143B" w:rsidRDefault="00E4143B" w:rsidP="00E4143B">
                <w:pPr>
                  <w:pStyle w:val="Sommario1"/>
                  <w:tabs>
                    <w:tab w:val="left" w:pos="9562"/>
                    <w:tab w:val="right" w:leader="dot" w:pos="10196"/>
                    <w:tab w:val="left" w:pos="10314"/>
                  </w:tabs>
                  <w:spacing w:line="240" w:lineRule="auto"/>
                  <w:ind w:right="204"/>
                  <w:rPr>
                    <w:rFonts w:asciiTheme="minorHAnsi" w:eastAsiaTheme="minorEastAsia" w:hAnsiTheme="minorHAnsi"/>
                    <w:noProof/>
                    <w:sz w:val="14"/>
                    <w:lang w:eastAsia="it-IT"/>
                  </w:rPr>
                </w:pPr>
                <w:r w:rsidRPr="00E4143B">
                  <w:rPr>
                    <w:sz w:val="14"/>
                  </w:rPr>
                  <w:fldChar w:fldCharType="begin"/>
                </w:r>
                <w:r w:rsidRPr="00E4143B">
                  <w:rPr>
                    <w:sz w:val="14"/>
                  </w:rPr>
                  <w:instrText xml:space="preserve"> TOC \o "1-3" \h \z \u </w:instrText>
                </w:r>
                <w:r w:rsidRPr="00E4143B">
                  <w:rPr>
                    <w:sz w:val="14"/>
                  </w:rPr>
                  <w:fldChar w:fldCharType="separate"/>
                </w:r>
                <w:hyperlink w:anchor="_Toc398278644" w:history="1">
                  <w:r w:rsidRPr="00E4143B">
                    <w:rPr>
                      <w:rStyle w:val="Collegamentoipertestuale"/>
                      <w:noProof/>
                      <w:sz w:val="18"/>
                    </w:rPr>
                    <w:t>1) Il consumo di petrolio in Italia</w:t>
                  </w:r>
                  <w:r w:rsidRPr="00E4143B">
                    <w:rPr>
                      <w:noProof/>
                      <w:webHidden/>
                      <w:sz w:val="14"/>
                    </w:rPr>
                    <w:tab/>
                  </w:r>
                  <w:r w:rsidRPr="00E4143B">
                    <w:rPr>
                      <w:noProof/>
                      <w:webHidden/>
                      <w:sz w:val="14"/>
                    </w:rPr>
                    <w:fldChar w:fldCharType="begin"/>
                  </w:r>
                  <w:r w:rsidRPr="00E4143B">
                    <w:rPr>
                      <w:noProof/>
                      <w:webHidden/>
                      <w:sz w:val="14"/>
                    </w:rPr>
                    <w:instrText xml:space="preserve"> PAGEREF _Toc398278644 \h </w:instrText>
                  </w:r>
                  <w:r w:rsidRPr="00E4143B">
                    <w:rPr>
                      <w:noProof/>
                      <w:webHidden/>
                      <w:sz w:val="14"/>
                    </w:rPr>
                  </w:r>
                  <w:r w:rsidRPr="00E4143B">
                    <w:rPr>
                      <w:noProof/>
                      <w:webHidden/>
                      <w:sz w:val="14"/>
                    </w:rPr>
                    <w:fldChar w:fldCharType="separate"/>
                  </w:r>
                  <w:r w:rsidR="008C2F5F">
                    <w:rPr>
                      <w:noProof/>
                      <w:webHidden/>
                      <w:sz w:val="14"/>
                    </w:rPr>
                    <w:t>2</w:t>
                  </w:r>
                  <w:r w:rsidRPr="00E4143B">
                    <w:rPr>
                      <w:noProof/>
                      <w:webHidden/>
                      <w:sz w:val="14"/>
                    </w:rPr>
                    <w:fldChar w:fldCharType="end"/>
                  </w:r>
                </w:hyperlink>
              </w:p>
              <w:p w:rsidR="00E4143B" w:rsidRPr="00E4143B" w:rsidRDefault="00A13E9B" w:rsidP="00E4143B">
                <w:pPr>
                  <w:pStyle w:val="Sommario1"/>
                  <w:tabs>
                    <w:tab w:val="left" w:pos="9562"/>
                    <w:tab w:val="right" w:leader="dot" w:pos="10196"/>
                    <w:tab w:val="left" w:pos="10314"/>
                  </w:tabs>
                  <w:spacing w:line="240" w:lineRule="auto"/>
                  <w:ind w:right="204"/>
                  <w:rPr>
                    <w:rFonts w:asciiTheme="minorHAnsi" w:eastAsiaTheme="minorEastAsia" w:hAnsiTheme="minorHAnsi"/>
                    <w:noProof/>
                    <w:sz w:val="14"/>
                    <w:lang w:eastAsia="it-IT"/>
                  </w:rPr>
                </w:pPr>
                <w:hyperlink w:anchor="_Toc398278645" w:history="1">
                  <w:r w:rsidR="00E4143B" w:rsidRPr="00E4143B">
                    <w:rPr>
                      <w:rStyle w:val="Collegamentoipertestuale"/>
                      <w:noProof/>
                      <w:sz w:val="18"/>
                    </w:rPr>
                    <w:t>2) Benzina o gasolio? L’andamento del mercato.</w:t>
                  </w:r>
                  <w:r w:rsidR="00E4143B" w:rsidRPr="00E4143B">
                    <w:rPr>
                      <w:noProof/>
                      <w:webHidden/>
                      <w:sz w:val="14"/>
                    </w:rPr>
                    <w:tab/>
                  </w:r>
                  <w:r w:rsidR="00E4143B" w:rsidRPr="00E4143B">
                    <w:rPr>
                      <w:noProof/>
                      <w:webHidden/>
                      <w:sz w:val="14"/>
                    </w:rPr>
                    <w:fldChar w:fldCharType="begin"/>
                  </w:r>
                  <w:r w:rsidR="00E4143B" w:rsidRPr="00E4143B">
                    <w:rPr>
                      <w:noProof/>
                      <w:webHidden/>
                      <w:sz w:val="14"/>
                    </w:rPr>
                    <w:instrText xml:space="preserve"> PAGEREF _Toc398278645 \h </w:instrText>
                  </w:r>
                  <w:r w:rsidR="00E4143B" w:rsidRPr="00E4143B">
                    <w:rPr>
                      <w:noProof/>
                      <w:webHidden/>
                      <w:sz w:val="14"/>
                    </w:rPr>
                  </w:r>
                  <w:r w:rsidR="00E4143B" w:rsidRPr="00E4143B">
                    <w:rPr>
                      <w:noProof/>
                      <w:webHidden/>
                      <w:sz w:val="14"/>
                    </w:rPr>
                    <w:fldChar w:fldCharType="separate"/>
                  </w:r>
                  <w:r w:rsidR="008C2F5F">
                    <w:rPr>
                      <w:noProof/>
                      <w:webHidden/>
                      <w:sz w:val="14"/>
                    </w:rPr>
                    <w:t>3</w:t>
                  </w:r>
                  <w:r w:rsidR="00E4143B" w:rsidRPr="00E4143B">
                    <w:rPr>
                      <w:noProof/>
                      <w:webHidden/>
                      <w:sz w:val="14"/>
                    </w:rPr>
                    <w:fldChar w:fldCharType="end"/>
                  </w:r>
                </w:hyperlink>
              </w:p>
              <w:p w:rsidR="00E4143B" w:rsidRPr="00E4143B" w:rsidRDefault="00A13E9B" w:rsidP="00E4143B">
                <w:pPr>
                  <w:pStyle w:val="Sommario1"/>
                  <w:tabs>
                    <w:tab w:val="left" w:pos="9562"/>
                    <w:tab w:val="right" w:leader="dot" w:pos="10196"/>
                    <w:tab w:val="left" w:pos="10314"/>
                  </w:tabs>
                  <w:spacing w:line="240" w:lineRule="auto"/>
                  <w:ind w:right="204"/>
                  <w:rPr>
                    <w:rFonts w:asciiTheme="minorHAnsi" w:eastAsiaTheme="minorEastAsia" w:hAnsiTheme="minorHAnsi"/>
                    <w:noProof/>
                    <w:sz w:val="14"/>
                    <w:lang w:eastAsia="it-IT"/>
                  </w:rPr>
                </w:pPr>
                <w:hyperlink w:anchor="_Toc398278646" w:history="1">
                  <w:r w:rsidR="00E4143B" w:rsidRPr="00E4143B">
                    <w:rPr>
                      <w:rStyle w:val="Collegamentoipertestuale"/>
                      <w:noProof/>
                      <w:sz w:val="18"/>
                    </w:rPr>
                    <w:t>3) Cause specifiche del calo delle immatricolazioni.</w:t>
                  </w:r>
                  <w:r w:rsidR="00E4143B" w:rsidRPr="00E4143B">
                    <w:rPr>
                      <w:noProof/>
                      <w:webHidden/>
                      <w:sz w:val="14"/>
                    </w:rPr>
                    <w:tab/>
                  </w:r>
                  <w:r w:rsidR="00E4143B" w:rsidRPr="00E4143B">
                    <w:rPr>
                      <w:noProof/>
                      <w:webHidden/>
                      <w:sz w:val="14"/>
                    </w:rPr>
                    <w:fldChar w:fldCharType="begin"/>
                  </w:r>
                  <w:r w:rsidR="00E4143B" w:rsidRPr="00E4143B">
                    <w:rPr>
                      <w:noProof/>
                      <w:webHidden/>
                      <w:sz w:val="14"/>
                    </w:rPr>
                    <w:instrText xml:space="preserve"> PAGEREF _Toc398278646 \h </w:instrText>
                  </w:r>
                  <w:r w:rsidR="00E4143B" w:rsidRPr="00E4143B">
                    <w:rPr>
                      <w:noProof/>
                      <w:webHidden/>
                      <w:sz w:val="14"/>
                    </w:rPr>
                  </w:r>
                  <w:r w:rsidR="00E4143B" w:rsidRPr="00E4143B">
                    <w:rPr>
                      <w:noProof/>
                      <w:webHidden/>
                      <w:sz w:val="14"/>
                    </w:rPr>
                    <w:fldChar w:fldCharType="separate"/>
                  </w:r>
                  <w:r w:rsidR="008C2F5F">
                    <w:rPr>
                      <w:noProof/>
                      <w:webHidden/>
                      <w:sz w:val="14"/>
                    </w:rPr>
                    <w:t>5</w:t>
                  </w:r>
                  <w:r w:rsidR="00E4143B" w:rsidRPr="00E4143B">
                    <w:rPr>
                      <w:noProof/>
                      <w:webHidden/>
                      <w:sz w:val="14"/>
                    </w:rPr>
                    <w:fldChar w:fldCharType="end"/>
                  </w:r>
                </w:hyperlink>
              </w:p>
              <w:p w:rsidR="00E4143B" w:rsidRPr="00E4143B" w:rsidRDefault="00A13E9B" w:rsidP="00E4143B">
                <w:pPr>
                  <w:pStyle w:val="Sommario1"/>
                  <w:tabs>
                    <w:tab w:val="left" w:pos="9562"/>
                    <w:tab w:val="right" w:leader="dot" w:pos="10196"/>
                    <w:tab w:val="left" w:pos="10314"/>
                  </w:tabs>
                  <w:spacing w:line="240" w:lineRule="auto"/>
                  <w:ind w:right="204"/>
                  <w:rPr>
                    <w:rFonts w:asciiTheme="minorHAnsi" w:eastAsiaTheme="minorEastAsia" w:hAnsiTheme="minorHAnsi"/>
                    <w:noProof/>
                    <w:sz w:val="14"/>
                    <w:lang w:eastAsia="it-IT"/>
                  </w:rPr>
                </w:pPr>
                <w:hyperlink w:anchor="_Toc398278647" w:history="1">
                  <w:r w:rsidR="00E4143B" w:rsidRPr="00E4143B">
                    <w:rPr>
                      <w:rStyle w:val="Collegamentoipertestuale"/>
                      <w:noProof/>
                      <w:sz w:val="18"/>
                    </w:rPr>
                    <w:t>4) Benzina e gasolio.</w:t>
                  </w:r>
                  <w:r w:rsidR="00E4143B" w:rsidRPr="00E4143B">
                    <w:rPr>
                      <w:noProof/>
                      <w:webHidden/>
                      <w:sz w:val="14"/>
                    </w:rPr>
                    <w:tab/>
                  </w:r>
                  <w:r w:rsidR="00E4143B" w:rsidRPr="00E4143B">
                    <w:rPr>
                      <w:noProof/>
                      <w:webHidden/>
                      <w:sz w:val="14"/>
                    </w:rPr>
                    <w:fldChar w:fldCharType="begin"/>
                  </w:r>
                  <w:r w:rsidR="00E4143B" w:rsidRPr="00E4143B">
                    <w:rPr>
                      <w:noProof/>
                      <w:webHidden/>
                      <w:sz w:val="14"/>
                    </w:rPr>
                    <w:instrText xml:space="preserve"> PAGEREF _Toc398278647 \h </w:instrText>
                  </w:r>
                  <w:r w:rsidR="00E4143B" w:rsidRPr="00E4143B">
                    <w:rPr>
                      <w:noProof/>
                      <w:webHidden/>
                      <w:sz w:val="14"/>
                    </w:rPr>
                  </w:r>
                  <w:r w:rsidR="00E4143B" w:rsidRPr="00E4143B">
                    <w:rPr>
                      <w:noProof/>
                      <w:webHidden/>
                      <w:sz w:val="14"/>
                    </w:rPr>
                    <w:fldChar w:fldCharType="separate"/>
                  </w:r>
                  <w:r w:rsidR="008C2F5F">
                    <w:rPr>
                      <w:noProof/>
                      <w:webHidden/>
                      <w:sz w:val="14"/>
                    </w:rPr>
                    <w:t>6</w:t>
                  </w:r>
                  <w:r w:rsidR="00E4143B" w:rsidRPr="00E4143B">
                    <w:rPr>
                      <w:noProof/>
                      <w:webHidden/>
                      <w:sz w:val="14"/>
                    </w:rPr>
                    <w:fldChar w:fldCharType="end"/>
                  </w:r>
                </w:hyperlink>
              </w:p>
              <w:p w:rsidR="00E4143B" w:rsidRPr="00E4143B" w:rsidRDefault="00A13E9B" w:rsidP="00D826E8">
                <w:pPr>
                  <w:pStyle w:val="Sommario3"/>
                  <w:rPr>
                    <w:rFonts w:asciiTheme="minorHAnsi" w:eastAsiaTheme="minorEastAsia" w:hAnsiTheme="minorHAnsi"/>
                    <w:sz w:val="14"/>
                    <w:lang w:eastAsia="it-IT"/>
                  </w:rPr>
                </w:pPr>
                <w:hyperlink w:anchor="_Toc398278649" w:history="1">
                  <w:r w:rsidR="00E4143B" w:rsidRPr="00E4143B">
                    <w:rPr>
                      <w:rStyle w:val="Collegamentoipertestuale"/>
                      <w:sz w:val="18"/>
                    </w:rPr>
                    <w:t>4.1) BENZINA. Prezzi al consumo (assoluti e tradotti in PPS), prezzi industriali, tassazione.</w:t>
                  </w:r>
                  <w:r w:rsidR="00E4143B" w:rsidRPr="00E4143B">
                    <w:rPr>
                      <w:webHidden/>
                      <w:sz w:val="14"/>
                    </w:rPr>
                    <w:tab/>
                  </w:r>
                  <w:r w:rsidR="00E4143B" w:rsidRPr="00E4143B">
                    <w:rPr>
                      <w:webHidden/>
                      <w:sz w:val="14"/>
                    </w:rPr>
                    <w:fldChar w:fldCharType="begin"/>
                  </w:r>
                  <w:r w:rsidR="00E4143B" w:rsidRPr="00E4143B">
                    <w:rPr>
                      <w:webHidden/>
                      <w:sz w:val="14"/>
                    </w:rPr>
                    <w:instrText xml:space="preserve"> PAGEREF _Toc398278649 \h </w:instrText>
                  </w:r>
                  <w:r w:rsidR="00E4143B" w:rsidRPr="00E4143B">
                    <w:rPr>
                      <w:webHidden/>
                      <w:sz w:val="14"/>
                    </w:rPr>
                  </w:r>
                  <w:r w:rsidR="00E4143B" w:rsidRPr="00E4143B">
                    <w:rPr>
                      <w:webHidden/>
                      <w:sz w:val="14"/>
                    </w:rPr>
                    <w:fldChar w:fldCharType="separate"/>
                  </w:r>
                  <w:r w:rsidR="008C2F5F">
                    <w:rPr>
                      <w:webHidden/>
                      <w:sz w:val="14"/>
                    </w:rPr>
                    <w:t>7</w:t>
                  </w:r>
                  <w:r w:rsidR="00E4143B" w:rsidRPr="00E4143B">
                    <w:rPr>
                      <w:webHidden/>
                      <w:sz w:val="14"/>
                    </w:rPr>
                    <w:fldChar w:fldCharType="end"/>
                  </w:r>
                </w:hyperlink>
              </w:p>
              <w:p w:rsidR="00E4143B" w:rsidRPr="00E4143B" w:rsidRDefault="00A13E9B" w:rsidP="00D826E8">
                <w:pPr>
                  <w:pStyle w:val="Sommario3"/>
                  <w:rPr>
                    <w:rFonts w:asciiTheme="minorHAnsi" w:eastAsiaTheme="minorEastAsia" w:hAnsiTheme="minorHAnsi"/>
                    <w:sz w:val="14"/>
                    <w:lang w:eastAsia="it-IT"/>
                  </w:rPr>
                </w:pPr>
                <w:hyperlink w:anchor="_Toc398278650" w:history="1">
                  <w:r w:rsidR="00E4143B" w:rsidRPr="00E4143B">
                    <w:rPr>
                      <w:rStyle w:val="Collegamentoipertestuale"/>
                      <w:sz w:val="18"/>
                    </w:rPr>
                    <w:t>4.2) GASOLIO PER AUTOTRAZIONE. Prezzi al consumo (assoluti e tradotti in PPS), prezzi industriali, tassazione.</w:t>
                  </w:r>
                  <w:r w:rsidR="00E4143B" w:rsidRPr="00E4143B">
                    <w:rPr>
                      <w:webHidden/>
                      <w:sz w:val="14"/>
                    </w:rPr>
                    <w:tab/>
                  </w:r>
                  <w:r w:rsidR="00E4143B" w:rsidRPr="00E4143B">
                    <w:rPr>
                      <w:webHidden/>
                      <w:sz w:val="14"/>
                    </w:rPr>
                    <w:fldChar w:fldCharType="begin"/>
                  </w:r>
                  <w:r w:rsidR="00E4143B" w:rsidRPr="00E4143B">
                    <w:rPr>
                      <w:webHidden/>
                      <w:sz w:val="14"/>
                    </w:rPr>
                    <w:instrText xml:space="preserve"> PAGEREF _Toc398278650 \h </w:instrText>
                  </w:r>
                  <w:r w:rsidR="00E4143B" w:rsidRPr="00E4143B">
                    <w:rPr>
                      <w:webHidden/>
                      <w:sz w:val="14"/>
                    </w:rPr>
                  </w:r>
                  <w:r w:rsidR="00E4143B" w:rsidRPr="00E4143B">
                    <w:rPr>
                      <w:webHidden/>
                      <w:sz w:val="14"/>
                    </w:rPr>
                    <w:fldChar w:fldCharType="separate"/>
                  </w:r>
                  <w:r w:rsidR="008C2F5F">
                    <w:rPr>
                      <w:webHidden/>
                      <w:sz w:val="14"/>
                    </w:rPr>
                    <w:t>9</w:t>
                  </w:r>
                  <w:r w:rsidR="00E4143B" w:rsidRPr="00E4143B">
                    <w:rPr>
                      <w:webHidden/>
                      <w:sz w:val="14"/>
                    </w:rPr>
                    <w:fldChar w:fldCharType="end"/>
                  </w:r>
                </w:hyperlink>
              </w:p>
              <w:p w:rsidR="00E4143B" w:rsidRPr="00E4143B" w:rsidRDefault="00A13E9B" w:rsidP="00D826E8">
                <w:pPr>
                  <w:pStyle w:val="Sommario3"/>
                  <w:rPr>
                    <w:rFonts w:asciiTheme="minorHAnsi" w:eastAsiaTheme="minorEastAsia" w:hAnsiTheme="minorHAnsi"/>
                    <w:sz w:val="14"/>
                    <w:lang w:eastAsia="it-IT"/>
                  </w:rPr>
                </w:pPr>
                <w:hyperlink w:anchor="_Toc398278651" w:history="1">
                  <w:r w:rsidR="00E4143B" w:rsidRPr="00E4143B">
                    <w:rPr>
                      <w:rStyle w:val="Collegamentoipertestuale"/>
                      <w:sz w:val="18"/>
                    </w:rPr>
                    <w:t>4.3) GASOLIO DA RISCALDAMENTO. Prezzi al consumo (assoluti e tradotti in PPS),  prezzi industriali, tassazione.</w:t>
                  </w:r>
                  <w:r w:rsidR="00E4143B" w:rsidRPr="00E4143B">
                    <w:rPr>
                      <w:webHidden/>
                      <w:sz w:val="14"/>
                    </w:rPr>
                    <w:tab/>
                  </w:r>
                  <w:r w:rsidR="00E4143B" w:rsidRPr="00E4143B">
                    <w:rPr>
                      <w:webHidden/>
                      <w:sz w:val="14"/>
                    </w:rPr>
                    <w:fldChar w:fldCharType="begin"/>
                  </w:r>
                  <w:r w:rsidR="00E4143B" w:rsidRPr="00E4143B">
                    <w:rPr>
                      <w:webHidden/>
                      <w:sz w:val="14"/>
                    </w:rPr>
                    <w:instrText xml:space="preserve"> PAGEREF _Toc398278651 \h </w:instrText>
                  </w:r>
                  <w:r w:rsidR="00E4143B" w:rsidRPr="00E4143B">
                    <w:rPr>
                      <w:webHidden/>
                      <w:sz w:val="14"/>
                    </w:rPr>
                  </w:r>
                  <w:r w:rsidR="00E4143B" w:rsidRPr="00E4143B">
                    <w:rPr>
                      <w:webHidden/>
                      <w:sz w:val="14"/>
                    </w:rPr>
                    <w:fldChar w:fldCharType="separate"/>
                  </w:r>
                  <w:r w:rsidR="008C2F5F">
                    <w:rPr>
                      <w:webHidden/>
                      <w:sz w:val="14"/>
                    </w:rPr>
                    <w:t>11</w:t>
                  </w:r>
                  <w:r w:rsidR="00E4143B" w:rsidRPr="00E4143B">
                    <w:rPr>
                      <w:webHidden/>
                      <w:sz w:val="14"/>
                    </w:rPr>
                    <w:fldChar w:fldCharType="end"/>
                  </w:r>
                </w:hyperlink>
              </w:p>
              <w:p w:rsidR="00E4143B" w:rsidRPr="00E4143B" w:rsidRDefault="00A13E9B" w:rsidP="00E4143B">
                <w:pPr>
                  <w:pStyle w:val="Sommario1"/>
                  <w:tabs>
                    <w:tab w:val="left" w:pos="9562"/>
                    <w:tab w:val="right" w:leader="dot" w:pos="10196"/>
                    <w:tab w:val="left" w:pos="10314"/>
                  </w:tabs>
                  <w:spacing w:line="240" w:lineRule="auto"/>
                  <w:ind w:right="204"/>
                  <w:rPr>
                    <w:rFonts w:asciiTheme="minorHAnsi" w:eastAsiaTheme="minorEastAsia" w:hAnsiTheme="minorHAnsi"/>
                    <w:noProof/>
                    <w:sz w:val="14"/>
                    <w:lang w:eastAsia="it-IT"/>
                  </w:rPr>
                </w:pPr>
                <w:hyperlink w:anchor="_Toc398278652" w:history="1">
                  <w:r w:rsidR="00E4143B" w:rsidRPr="00E4143B">
                    <w:rPr>
                      <w:rStyle w:val="Collegamentoipertestuale"/>
                      <w:noProof/>
                      <w:sz w:val="18"/>
                    </w:rPr>
                    <w:t>5) Oneri fiscali. Incidenza percentuale sul prezzo di vendita</w:t>
                  </w:r>
                  <w:r w:rsidR="00E4143B" w:rsidRPr="00E4143B">
                    <w:rPr>
                      <w:noProof/>
                      <w:webHidden/>
                      <w:sz w:val="14"/>
                    </w:rPr>
                    <w:tab/>
                  </w:r>
                  <w:r w:rsidR="00E4143B" w:rsidRPr="00E4143B">
                    <w:rPr>
                      <w:noProof/>
                      <w:webHidden/>
                      <w:sz w:val="14"/>
                    </w:rPr>
                    <w:fldChar w:fldCharType="begin"/>
                  </w:r>
                  <w:r w:rsidR="00E4143B" w:rsidRPr="00E4143B">
                    <w:rPr>
                      <w:noProof/>
                      <w:webHidden/>
                      <w:sz w:val="14"/>
                    </w:rPr>
                    <w:instrText xml:space="preserve"> PAGEREF _Toc398278652 \h </w:instrText>
                  </w:r>
                  <w:r w:rsidR="00E4143B" w:rsidRPr="00E4143B">
                    <w:rPr>
                      <w:noProof/>
                      <w:webHidden/>
                      <w:sz w:val="14"/>
                    </w:rPr>
                  </w:r>
                  <w:r w:rsidR="00E4143B" w:rsidRPr="00E4143B">
                    <w:rPr>
                      <w:noProof/>
                      <w:webHidden/>
                      <w:sz w:val="14"/>
                    </w:rPr>
                    <w:fldChar w:fldCharType="separate"/>
                  </w:r>
                  <w:r w:rsidR="008C2F5F">
                    <w:rPr>
                      <w:noProof/>
                      <w:webHidden/>
                      <w:sz w:val="14"/>
                    </w:rPr>
                    <w:t>13</w:t>
                  </w:r>
                  <w:r w:rsidR="00E4143B" w:rsidRPr="00E4143B">
                    <w:rPr>
                      <w:noProof/>
                      <w:webHidden/>
                      <w:sz w:val="14"/>
                    </w:rPr>
                    <w:fldChar w:fldCharType="end"/>
                  </w:r>
                </w:hyperlink>
              </w:p>
              <w:p w:rsidR="00E4143B" w:rsidRPr="00E4143B" w:rsidRDefault="00A13E9B" w:rsidP="00E4143B">
                <w:pPr>
                  <w:pStyle w:val="Sommario1"/>
                  <w:tabs>
                    <w:tab w:val="left" w:pos="9562"/>
                    <w:tab w:val="right" w:leader="dot" w:pos="10196"/>
                    <w:tab w:val="left" w:pos="10314"/>
                  </w:tabs>
                  <w:spacing w:line="240" w:lineRule="auto"/>
                  <w:ind w:right="204"/>
                  <w:rPr>
                    <w:rFonts w:asciiTheme="minorHAnsi" w:eastAsiaTheme="minorEastAsia" w:hAnsiTheme="minorHAnsi"/>
                    <w:noProof/>
                    <w:sz w:val="14"/>
                    <w:lang w:eastAsia="it-IT"/>
                  </w:rPr>
                </w:pPr>
                <w:hyperlink w:anchor="_Toc398278653" w:history="1">
                  <w:r w:rsidR="00E4143B" w:rsidRPr="00E4143B">
                    <w:rPr>
                      <w:rStyle w:val="Collegamentoipertestuale"/>
                      <w:noProof/>
                      <w:sz w:val="18"/>
                    </w:rPr>
                    <w:t>6) DOCUMENTAZIONE E FONTI</w:t>
                  </w:r>
                  <w:r w:rsidR="00E4143B" w:rsidRPr="00E4143B">
                    <w:rPr>
                      <w:noProof/>
                      <w:webHidden/>
                      <w:sz w:val="14"/>
                    </w:rPr>
                    <w:tab/>
                  </w:r>
                  <w:r w:rsidR="00E4143B" w:rsidRPr="00E4143B">
                    <w:rPr>
                      <w:noProof/>
                      <w:webHidden/>
                      <w:sz w:val="14"/>
                    </w:rPr>
                    <w:fldChar w:fldCharType="begin"/>
                  </w:r>
                  <w:r w:rsidR="00E4143B" w:rsidRPr="00E4143B">
                    <w:rPr>
                      <w:noProof/>
                      <w:webHidden/>
                      <w:sz w:val="14"/>
                    </w:rPr>
                    <w:instrText xml:space="preserve"> PAGEREF _Toc398278653 \h </w:instrText>
                  </w:r>
                  <w:r w:rsidR="00E4143B" w:rsidRPr="00E4143B">
                    <w:rPr>
                      <w:noProof/>
                      <w:webHidden/>
                      <w:sz w:val="14"/>
                    </w:rPr>
                  </w:r>
                  <w:r w:rsidR="00E4143B" w:rsidRPr="00E4143B">
                    <w:rPr>
                      <w:noProof/>
                      <w:webHidden/>
                      <w:sz w:val="14"/>
                    </w:rPr>
                    <w:fldChar w:fldCharType="separate"/>
                  </w:r>
                  <w:r w:rsidR="008C2F5F">
                    <w:rPr>
                      <w:noProof/>
                      <w:webHidden/>
                      <w:sz w:val="14"/>
                    </w:rPr>
                    <w:t>14</w:t>
                  </w:r>
                  <w:r w:rsidR="00E4143B" w:rsidRPr="00E4143B">
                    <w:rPr>
                      <w:noProof/>
                      <w:webHidden/>
                      <w:sz w:val="14"/>
                    </w:rPr>
                    <w:fldChar w:fldCharType="end"/>
                  </w:r>
                </w:hyperlink>
              </w:p>
              <w:p w:rsidR="00E4143B" w:rsidRPr="00E4143B" w:rsidRDefault="00A13E9B" w:rsidP="00E4143B">
                <w:pPr>
                  <w:pStyle w:val="Sommario2"/>
                  <w:tabs>
                    <w:tab w:val="left" w:pos="9562"/>
                    <w:tab w:val="right" w:leader="dot" w:pos="10196"/>
                    <w:tab w:val="left" w:pos="10314"/>
                  </w:tabs>
                  <w:spacing w:line="240" w:lineRule="auto"/>
                  <w:ind w:right="204"/>
                  <w:rPr>
                    <w:rFonts w:asciiTheme="minorHAnsi" w:eastAsiaTheme="minorEastAsia" w:hAnsiTheme="minorHAnsi"/>
                    <w:noProof/>
                    <w:sz w:val="14"/>
                    <w:lang w:eastAsia="it-IT"/>
                  </w:rPr>
                </w:pPr>
                <w:hyperlink w:anchor="_Toc398278655" w:history="1">
                  <w:r w:rsidR="00E4143B" w:rsidRPr="00E4143B">
                    <w:rPr>
                      <w:rStyle w:val="Collegamentoipertestuale"/>
                      <w:rFonts w:cs="Arial"/>
                      <w:noProof/>
                      <w:sz w:val="18"/>
                    </w:rPr>
                    <w:t>6.1) App</w:t>
                  </w:r>
                  <w:r w:rsidR="00D826E8">
                    <w:rPr>
                      <w:rStyle w:val="Collegamentoipertestuale"/>
                      <w:rFonts w:cs="Arial"/>
                      <w:noProof/>
                      <w:sz w:val="18"/>
                    </w:rPr>
                    <w:t xml:space="preserve">licazione </w:t>
                  </w:r>
                  <w:r w:rsidR="00E4143B" w:rsidRPr="00E4143B">
                    <w:rPr>
                      <w:rStyle w:val="Collegamentoipertestuale"/>
                      <w:rFonts w:cs="Arial"/>
                      <w:noProof/>
                      <w:sz w:val="18"/>
                    </w:rPr>
                    <w:t xml:space="preserve"> del Mise: i prezzi dei carburanti applicati alle pompe della zona d’interesse </w:t>
                  </w:r>
                  <w:r w:rsidR="008C2F5F">
                    <w:rPr>
                      <w:rStyle w:val="Collegamentoipertestuale"/>
                      <w:rFonts w:cs="Arial"/>
                      <w:noProof/>
                      <w:sz w:val="18"/>
                    </w:rPr>
                    <w:t>per</w:t>
                  </w:r>
                  <w:r w:rsidR="00E4143B" w:rsidRPr="00E4143B">
                    <w:rPr>
                      <w:rStyle w:val="Collegamentoipertestuale"/>
                      <w:rFonts w:cs="Arial"/>
                      <w:noProof/>
                      <w:sz w:val="18"/>
                    </w:rPr>
                    <w:t xml:space="preserve"> scegliere il gestore più conveniente</w:t>
                  </w:r>
                  <w:r w:rsidR="00E4143B" w:rsidRPr="00E4143B">
                    <w:rPr>
                      <w:noProof/>
                      <w:webHidden/>
                      <w:sz w:val="14"/>
                    </w:rPr>
                    <w:tab/>
                  </w:r>
                  <w:r w:rsidR="00E4143B" w:rsidRPr="00E4143B">
                    <w:rPr>
                      <w:noProof/>
                      <w:webHidden/>
                      <w:sz w:val="14"/>
                    </w:rPr>
                    <w:fldChar w:fldCharType="begin"/>
                  </w:r>
                  <w:r w:rsidR="00E4143B" w:rsidRPr="00E4143B">
                    <w:rPr>
                      <w:noProof/>
                      <w:webHidden/>
                      <w:sz w:val="14"/>
                    </w:rPr>
                    <w:instrText xml:space="preserve"> PAGEREF _Toc398278655 \h </w:instrText>
                  </w:r>
                  <w:r w:rsidR="00E4143B" w:rsidRPr="00E4143B">
                    <w:rPr>
                      <w:noProof/>
                      <w:webHidden/>
                      <w:sz w:val="14"/>
                    </w:rPr>
                  </w:r>
                  <w:r w:rsidR="00E4143B" w:rsidRPr="00E4143B">
                    <w:rPr>
                      <w:noProof/>
                      <w:webHidden/>
                      <w:sz w:val="14"/>
                    </w:rPr>
                    <w:fldChar w:fldCharType="separate"/>
                  </w:r>
                  <w:r w:rsidR="008C2F5F">
                    <w:rPr>
                      <w:noProof/>
                      <w:webHidden/>
                      <w:sz w:val="14"/>
                    </w:rPr>
                    <w:t>14</w:t>
                  </w:r>
                  <w:r w:rsidR="00E4143B" w:rsidRPr="00E4143B">
                    <w:rPr>
                      <w:noProof/>
                      <w:webHidden/>
                      <w:sz w:val="14"/>
                    </w:rPr>
                    <w:fldChar w:fldCharType="end"/>
                  </w:r>
                </w:hyperlink>
              </w:p>
              <w:p w:rsidR="00E4143B" w:rsidRDefault="00A13E9B" w:rsidP="00D826E8">
                <w:pPr>
                  <w:pStyle w:val="Sommario3"/>
                  <w:rPr>
                    <w:rStyle w:val="Collegamentoipertestuale"/>
                    <w:sz w:val="18"/>
                  </w:rPr>
                </w:pPr>
                <w:hyperlink w:anchor="_Toc398278657" w:history="1">
                  <w:r w:rsidR="00E4143B" w:rsidRPr="00E4143B">
                    <w:rPr>
                      <w:rStyle w:val="Collegamentoipertestuale"/>
                      <w:sz w:val="18"/>
                    </w:rPr>
                    <w:t>6</w:t>
                  </w:r>
                  <w:r w:rsidR="00E4143B" w:rsidRPr="00E4143B">
                    <w:rPr>
                      <w:rStyle w:val="Collegamentoipertestuale"/>
                      <w:iCs/>
                      <w:sz w:val="18"/>
                      <w:lang w:eastAsia="it-IT"/>
                    </w:rPr>
                    <w:t>.2) Legislazione europea</w:t>
                  </w:r>
                  <w:r w:rsidR="00E4143B" w:rsidRPr="00E4143B">
                    <w:rPr>
                      <w:webHidden/>
                      <w:sz w:val="14"/>
                    </w:rPr>
                    <w:tab/>
                  </w:r>
                  <w:r w:rsidR="00E4143B" w:rsidRPr="00D826E8">
                    <w:rPr>
                      <w:webHidden/>
                      <w:sz w:val="16"/>
                    </w:rPr>
                    <w:fldChar w:fldCharType="begin"/>
                  </w:r>
                  <w:r w:rsidR="00E4143B" w:rsidRPr="00D826E8">
                    <w:rPr>
                      <w:webHidden/>
                      <w:sz w:val="16"/>
                    </w:rPr>
                    <w:instrText xml:space="preserve"> PAGEREF _Toc398278657 \h </w:instrText>
                  </w:r>
                  <w:r w:rsidR="00E4143B" w:rsidRPr="00D826E8">
                    <w:rPr>
                      <w:webHidden/>
                      <w:sz w:val="16"/>
                    </w:rPr>
                  </w:r>
                  <w:r w:rsidR="00E4143B" w:rsidRPr="00D826E8">
                    <w:rPr>
                      <w:webHidden/>
                      <w:sz w:val="16"/>
                    </w:rPr>
                    <w:fldChar w:fldCharType="separate"/>
                  </w:r>
                  <w:r w:rsidR="008C2F5F" w:rsidRPr="00D826E8">
                    <w:rPr>
                      <w:webHidden/>
                      <w:sz w:val="16"/>
                    </w:rPr>
                    <w:t>15</w:t>
                  </w:r>
                  <w:r w:rsidR="00E4143B" w:rsidRPr="00D826E8">
                    <w:rPr>
                      <w:webHidden/>
                      <w:sz w:val="16"/>
                    </w:rPr>
                    <w:fldChar w:fldCharType="end"/>
                  </w:r>
                </w:hyperlink>
              </w:p>
              <w:p w:rsidR="008C2F5F" w:rsidRPr="00D826E8" w:rsidRDefault="008C2F5F" w:rsidP="00D826E8">
                <w:pPr>
                  <w:pStyle w:val="Sommario3"/>
                  <w:rPr>
                    <w:rStyle w:val="Collegamentoipertestuale"/>
                    <w:i w:val="0"/>
                    <w:color w:val="auto"/>
                    <w:sz w:val="18"/>
                  </w:rPr>
                </w:pPr>
                <w:r w:rsidRPr="00D826E8">
                  <w:rPr>
                    <w:rStyle w:val="Collegamentoipertestuale"/>
                    <w:i w:val="0"/>
                    <w:color w:val="auto"/>
                    <w:sz w:val="18"/>
                  </w:rPr>
                  <w:t>6.3) Francia. Prezzi delle benzine. Un esempio di chiarezza ed utilità</w:t>
                </w:r>
                <w:r w:rsidR="007C4FBF">
                  <w:rPr>
                    <w:rStyle w:val="Collegamentoipertestuale"/>
                    <w:i w:val="0"/>
                    <w:color w:val="auto"/>
                    <w:sz w:val="18"/>
                  </w:rPr>
                  <w:t>: il</w:t>
                </w:r>
                <w:r w:rsidRPr="00D826E8">
                  <w:rPr>
                    <w:rStyle w:val="Collegamentoipertestuale"/>
                    <w:i w:val="0"/>
                    <w:color w:val="auto"/>
                    <w:sz w:val="18"/>
                  </w:rPr>
                  <w:t xml:space="preserve"> sito governativo </w:t>
                </w:r>
                <w:r w:rsidR="007C4FBF">
                  <w:rPr>
                    <w:rStyle w:val="Collegamentoipertestuale"/>
                    <w:i w:val="0"/>
                    <w:color w:val="auto"/>
                    <w:sz w:val="18"/>
                  </w:rPr>
                  <w:t>francese</w:t>
                </w:r>
                <w:r w:rsidRPr="00D826E8">
                  <w:rPr>
                    <w:rStyle w:val="Collegamentoipertestuale"/>
                    <w:i w:val="0"/>
                    <w:color w:val="auto"/>
                    <w:sz w:val="18"/>
                  </w:rPr>
                  <w:t xml:space="preserve">: </w:t>
                </w:r>
                <w:hyperlink r:id="rId9" w:history="1">
                  <w:r w:rsidRPr="00D826E8">
                    <w:rPr>
                      <w:rStyle w:val="Collegamentoipertestuale"/>
                      <w:i w:val="0"/>
                      <w:color w:val="C00000"/>
                      <w:sz w:val="18"/>
                    </w:rPr>
                    <w:t>http://www.prix-carburants.gouv.fr/</w:t>
                  </w:r>
                </w:hyperlink>
                <w:r w:rsidRPr="00D826E8">
                  <w:rPr>
                    <w:rStyle w:val="Collegamentoipertestuale"/>
                    <w:i w:val="0"/>
                    <w:color w:val="C00000"/>
                    <w:sz w:val="18"/>
                  </w:rPr>
                  <w:t xml:space="preserve"> </w:t>
                </w:r>
                <w:r w:rsidRPr="00D826E8">
                  <w:rPr>
                    <w:rStyle w:val="Collegamentoipertestuale"/>
                    <w:i w:val="0"/>
                    <w:color w:val="auto"/>
                    <w:sz w:val="18"/>
                  </w:rPr>
                  <w:t xml:space="preserve"> </w:t>
                </w:r>
              </w:p>
              <w:p w:rsidR="00E4143B" w:rsidRPr="008C2F5F" w:rsidRDefault="00A13E9B" w:rsidP="00D826E8">
                <w:pPr>
                  <w:pStyle w:val="Sommario3"/>
                  <w:rPr>
                    <w:rStyle w:val="Collegamentoipertestuale"/>
                    <w:color w:val="auto"/>
                    <w:sz w:val="18"/>
                  </w:rPr>
                </w:pPr>
                <w:hyperlink w:anchor="_Toc398278658" w:history="1">
                  <w:r w:rsidR="00E4143B" w:rsidRPr="008C2F5F">
                    <w:rPr>
                      <w:rStyle w:val="Collegamentoipertestuale"/>
                      <w:color w:val="auto"/>
                      <w:sz w:val="18"/>
                    </w:rPr>
                    <w:t>6.</w:t>
                  </w:r>
                  <w:r w:rsidR="008C2F5F" w:rsidRPr="008C2F5F">
                    <w:rPr>
                      <w:rStyle w:val="Collegamentoipertestuale"/>
                      <w:color w:val="auto"/>
                      <w:sz w:val="18"/>
                    </w:rPr>
                    <w:t>4</w:t>
                  </w:r>
                  <w:r w:rsidR="00E4143B" w:rsidRPr="008C2F5F">
                    <w:rPr>
                      <w:rStyle w:val="Collegamentoipertestuale"/>
                      <w:color w:val="auto"/>
                      <w:sz w:val="18"/>
                    </w:rPr>
                    <w:t>) Documentazione della Commissione Europea / Energia</w:t>
                  </w:r>
                  <w:r w:rsidR="00E4143B" w:rsidRPr="008C2F5F">
                    <w:rPr>
                      <w:rStyle w:val="Collegamentoipertestuale"/>
                      <w:webHidden/>
                      <w:color w:val="auto"/>
                      <w:sz w:val="18"/>
                    </w:rPr>
                    <w:tab/>
                  </w:r>
                  <w:r w:rsidR="00E4143B" w:rsidRPr="00D826E8">
                    <w:rPr>
                      <w:rStyle w:val="Collegamentoipertestuale"/>
                      <w:webHidden/>
                      <w:color w:val="auto"/>
                      <w:sz w:val="16"/>
                    </w:rPr>
                    <w:fldChar w:fldCharType="begin"/>
                  </w:r>
                  <w:r w:rsidR="00E4143B" w:rsidRPr="00D826E8">
                    <w:rPr>
                      <w:rStyle w:val="Collegamentoipertestuale"/>
                      <w:webHidden/>
                      <w:color w:val="auto"/>
                      <w:sz w:val="16"/>
                    </w:rPr>
                    <w:instrText xml:space="preserve"> PAGEREF _Toc398278658 \h </w:instrText>
                  </w:r>
                  <w:r w:rsidR="00E4143B" w:rsidRPr="00D826E8">
                    <w:rPr>
                      <w:rStyle w:val="Collegamentoipertestuale"/>
                      <w:webHidden/>
                      <w:color w:val="auto"/>
                      <w:sz w:val="16"/>
                    </w:rPr>
                  </w:r>
                  <w:r w:rsidR="00E4143B" w:rsidRPr="00D826E8">
                    <w:rPr>
                      <w:rStyle w:val="Collegamentoipertestuale"/>
                      <w:webHidden/>
                      <w:color w:val="auto"/>
                      <w:sz w:val="16"/>
                    </w:rPr>
                    <w:fldChar w:fldCharType="separate"/>
                  </w:r>
                  <w:r w:rsidR="008C2F5F" w:rsidRPr="00D826E8">
                    <w:rPr>
                      <w:rStyle w:val="Collegamentoipertestuale"/>
                      <w:webHidden/>
                      <w:color w:val="auto"/>
                      <w:sz w:val="16"/>
                    </w:rPr>
                    <w:t>16</w:t>
                  </w:r>
                  <w:r w:rsidR="00E4143B" w:rsidRPr="00D826E8">
                    <w:rPr>
                      <w:rStyle w:val="Collegamentoipertestuale"/>
                      <w:webHidden/>
                      <w:color w:val="auto"/>
                      <w:sz w:val="16"/>
                    </w:rPr>
                    <w:fldChar w:fldCharType="end"/>
                  </w:r>
                </w:hyperlink>
              </w:p>
              <w:p w:rsidR="00E4143B" w:rsidRDefault="00E4143B" w:rsidP="00E4143B">
                <w:pPr>
                  <w:tabs>
                    <w:tab w:val="left" w:pos="9562"/>
                    <w:tab w:val="left" w:pos="10314"/>
                  </w:tabs>
                  <w:spacing w:line="240" w:lineRule="auto"/>
                </w:pPr>
                <w:r w:rsidRPr="00E4143B">
                  <w:rPr>
                    <w:b/>
                    <w:bCs/>
                    <w:sz w:val="14"/>
                  </w:rPr>
                  <w:fldChar w:fldCharType="end"/>
                </w:r>
              </w:p>
            </w:sdtContent>
          </w:sdt>
          <w:p w:rsidR="00E4143B" w:rsidRDefault="00E4143B" w:rsidP="00E4143B">
            <w:pPr>
              <w:spacing w:after="0"/>
              <w:ind w:right="601"/>
            </w:pPr>
          </w:p>
          <w:p w:rsidR="007243CF" w:rsidRDefault="007243CF" w:rsidP="00E4143B">
            <w:pPr>
              <w:spacing w:after="0"/>
              <w:ind w:right="601"/>
            </w:pPr>
          </w:p>
          <w:p w:rsidR="007243CF" w:rsidRDefault="007243CF" w:rsidP="00E4143B">
            <w:pPr>
              <w:spacing w:after="0"/>
              <w:ind w:right="601"/>
            </w:pPr>
          </w:p>
          <w:p w:rsidR="007243CF" w:rsidRDefault="007243CF" w:rsidP="00E4143B">
            <w:pPr>
              <w:spacing w:after="0"/>
              <w:ind w:right="601"/>
            </w:pPr>
          </w:p>
          <w:p w:rsidR="007243CF" w:rsidRDefault="007243CF" w:rsidP="007243CF">
            <w:pPr>
              <w:pStyle w:val="Sommario1"/>
              <w:tabs>
                <w:tab w:val="right" w:leader="dot" w:pos="9628"/>
              </w:tabs>
              <w:spacing w:line="360" w:lineRule="auto"/>
            </w:pPr>
          </w:p>
          <w:p w:rsidR="007243CF" w:rsidRDefault="007243CF" w:rsidP="007243CF">
            <w:pPr>
              <w:pStyle w:val="Sommario1"/>
              <w:tabs>
                <w:tab w:val="right" w:leader="dot" w:pos="9628"/>
              </w:tabs>
              <w:spacing w:line="360" w:lineRule="auto"/>
            </w:pPr>
          </w:p>
          <w:p w:rsidR="007243CF" w:rsidRDefault="007243CF" w:rsidP="007243CF">
            <w:pPr>
              <w:pStyle w:val="Sommario1"/>
              <w:tabs>
                <w:tab w:val="right" w:leader="dot" w:pos="9628"/>
              </w:tabs>
              <w:spacing w:line="360" w:lineRule="auto"/>
              <w:rPr>
                <w:rStyle w:val="Collegamentoipertestuale"/>
                <w:rFonts w:ascii="Arial" w:hAnsi="Arial" w:cs="Arial"/>
                <w:bCs/>
                <w:noProof/>
                <w:sz w:val="22"/>
                <w:szCs w:val="22"/>
              </w:rPr>
            </w:pPr>
            <w:r>
              <w:t>Analizzeremo l’andamento di prezzo finale, prezzo industriale e  tassazione dei derivati del petrolio. L’analisi comparerà la situazione in Francia, Germania, Gran Bretagna, Spagna e Italia a partire da gennaio 2009 (più vecchio dato storico fornito dalla Commissione europea) fino ad oggi. Le dinamiche precedenti non saranno valutate.</w:t>
            </w:r>
            <w:r>
              <w:fldChar w:fldCharType="begin"/>
            </w:r>
            <w:r>
              <w:instrText xml:space="preserve"> TOC \o "1-3" \h \z \u </w:instrText>
            </w:r>
            <w:r>
              <w:fldChar w:fldCharType="separate"/>
            </w:r>
          </w:p>
          <w:p w:rsidR="007243CF" w:rsidRDefault="007243CF" w:rsidP="007243CF">
            <w:pPr>
              <w:pStyle w:val="Sommario1"/>
              <w:tabs>
                <w:tab w:val="right" w:leader="dot" w:pos="9628"/>
              </w:tabs>
              <w:spacing w:line="360" w:lineRule="auto"/>
              <w:rPr>
                <w:rFonts w:cs="Times New Roman"/>
                <w:color w:val="17365D" w:themeColor="text2" w:themeShade="BF"/>
                <w:sz w:val="24"/>
                <w:szCs w:val="24"/>
              </w:rPr>
            </w:pPr>
            <w:r>
              <w:t>I</w:t>
            </w:r>
            <w:r w:rsidRPr="007243CF">
              <w:t>n altra sede analizzeremo la formazione del prezzo di mercato  dei derivati del petrolio ed il ruolo di Platt, agenzia privata che pubblica notizie, commenti, dati fondamentali di mercato e analisi, oltre a migliaia di valutazioni giornaliere in tempo reale di prezzo. Queste sono ampiamente utilizzate come benchmark nei mercati fisici e future. </w:t>
            </w:r>
            <w:r>
              <w:rPr>
                <w:rFonts w:cs="Times New Roman"/>
                <w:color w:val="17365D" w:themeColor="text2" w:themeShade="BF"/>
                <w:sz w:val="24"/>
                <w:szCs w:val="24"/>
              </w:rPr>
              <w:t xml:space="preserve"> </w:t>
            </w:r>
          </w:p>
          <w:p w:rsidR="00AA6552" w:rsidRDefault="007243CF" w:rsidP="00E4143B">
            <w:pPr>
              <w:spacing w:after="0"/>
              <w:ind w:right="601"/>
            </w:pPr>
            <w:r>
              <w:rPr>
                <w:b/>
                <w:bCs/>
              </w:rPr>
              <w:fldChar w:fldCharType="end"/>
            </w:r>
            <w:r w:rsidR="00E4143B">
              <w:t>[</w:t>
            </w:r>
            <w:hyperlink w:anchor="_6.3)_Documentazione_della" w:history="1">
              <w:r w:rsidR="00E4143B" w:rsidRPr="00E4143B">
                <w:rPr>
                  <w:rStyle w:val="Collegamentoipertestuale"/>
                  <w:color w:val="C00000"/>
                </w:rPr>
                <w:t>Al punto 6.3</w:t>
              </w:r>
            </w:hyperlink>
            <w:r w:rsidR="00E4143B">
              <w:t xml:space="preserve"> della documentazione riportata in calce, le rilevazioni per la totalità dei paesi UE.]</w:t>
            </w:r>
          </w:p>
          <w:p w:rsidR="00E4143B" w:rsidRDefault="00E4143B" w:rsidP="009E56BC">
            <w:pPr>
              <w:pStyle w:val="Titolo1"/>
              <w:spacing w:after="0"/>
            </w:pPr>
            <w:bookmarkStart w:id="1" w:name="_Toc398128206"/>
            <w:bookmarkStart w:id="2" w:name="_Toc398203749"/>
          </w:p>
          <w:p w:rsidR="00E4143B" w:rsidRDefault="00A13E9B" w:rsidP="007243CF">
            <w:pPr>
              <w:pStyle w:val="Titolo1"/>
              <w:spacing w:after="0"/>
              <w:ind w:left="63"/>
            </w:pPr>
            <w:r>
              <w:pict>
                <v:rect id="_x0000_i1025" style="width:669.6pt;height:1.8pt" o:hralign="center" o:hrstd="t" o:hr="t" fillcolor="#a0a0a0" stroked="f"/>
              </w:pict>
            </w:r>
          </w:p>
          <w:p w:rsidR="007243CF" w:rsidRDefault="007243CF" w:rsidP="009E56BC">
            <w:pPr>
              <w:pStyle w:val="Titolo1"/>
              <w:spacing w:after="0"/>
            </w:pPr>
          </w:p>
          <w:p w:rsidR="009E56BC" w:rsidRPr="009E56BC" w:rsidRDefault="009E56BC" w:rsidP="009E56BC">
            <w:pPr>
              <w:pStyle w:val="Titolo1"/>
              <w:spacing w:after="0"/>
            </w:pPr>
            <w:bookmarkStart w:id="3" w:name="_Toc398278644"/>
            <w:r w:rsidRPr="009E56BC">
              <w:t>1) Il consumo di petrolio in Italia</w:t>
            </w:r>
            <w:bookmarkEnd w:id="1"/>
            <w:bookmarkEnd w:id="2"/>
            <w:bookmarkEnd w:id="3"/>
          </w:p>
          <w:p w:rsidR="009E56BC" w:rsidRPr="009E56BC" w:rsidRDefault="009E56BC" w:rsidP="009E56BC">
            <w:pPr>
              <w:pStyle w:val="Titolo1"/>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 xml:space="preserve">Gli accordi internazionali per la diminuzione dei consumi petroliferi, quelli per la riduzione delle emissioni di CO2, la crisi ormai perdurante da sette anni (specie nei paesi del Sud Europa) hanno dato luogo al drastico calo del consumo dei prodotti petroliferi nel mondo, paesi emergenti a parte. In Italia il fenomeno è notevole e consolidato dal 2003, in accelerazione verso il basso dal 2011. </w:t>
            </w:r>
          </w:p>
          <w:p w:rsid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Italia, negli ultimi 10 anni (FIG. 1) siamo passati da un consumo di poco più di 90 milioni di tonnellate ai 60,8 milioni di tonnellate riscontrati nel 2013. Il decremento è stato ben più pronunciato rispetto a quello registrato nei 2 schock pretroliferi degli anni ‘70, quando comunque ci si manteneva al di sopra dei 90 milioni, nel caso del primo shock del 1974, e non si scendeva al di sotto degli 84 milioni nel caso del secondo shock dei primi anni ’80. In entrambi i casi, gli anni successivi vedevano un nuovo incremento dei consumi petroliferi.</w:t>
            </w:r>
          </w:p>
          <w:p w:rsidR="009E56BC" w:rsidRDefault="009E56BC" w:rsidP="009E56BC">
            <w:pPr>
              <w:spacing w:after="0"/>
            </w:pPr>
          </w:p>
          <w:p w:rsidR="007243CF" w:rsidRDefault="007243CF" w:rsidP="009E56BC">
            <w:pPr>
              <w:spacing w:after="0"/>
              <w:jc w:val="center"/>
              <w:rPr>
                <w:b/>
              </w:rPr>
            </w:pPr>
          </w:p>
          <w:p w:rsidR="009E56BC" w:rsidRPr="009E56BC" w:rsidRDefault="009E56BC" w:rsidP="009E56BC">
            <w:pPr>
              <w:spacing w:after="0"/>
              <w:jc w:val="center"/>
              <w:rPr>
                <w:b/>
              </w:rPr>
            </w:pPr>
            <w:r w:rsidRPr="009E56BC">
              <w:rPr>
                <w:b/>
              </w:rPr>
              <w:t xml:space="preserve">FIG. 1-   I consumi dei prodotti petroliferi in Italia </w:t>
            </w:r>
          </w:p>
          <w:p w:rsidR="009E56BC" w:rsidRPr="009E56BC" w:rsidRDefault="009E56BC" w:rsidP="009E56BC">
            <w:pPr>
              <w:spacing w:after="0"/>
              <w:jc w:val="center"/>
              <w:rPr>
                <w:b/>
              </w:rPr>
            </w:pPr>
            <w:r w:rsidRPr="009E56BC">
              <w:rPr>
                <w:b/>
              </w:rPr>
              <w:t>dal 1971 al 2013.</w:t>
            </w:r>
            <w:r w:rsidR="00AA6552">
              <w:rPr>
                <w:b/>
              </w:rPr>
              <w:t xml:space="preserve"> </w:t>
            </w:r>
            <w:r w:rsidRPr="009E56BC">
              <w:rPr>
                <w:b/>
              </w:rPr>
              <w:t>Fonte MISE. Milioni di tonn.</w:t>
            </w:r>
          </w:p>
          <w:p w:rsidR="009E56BC" w:rsidRPr="009E56BC" w:rsidRDefault="009E56BC" w:rsidP="009E56BC">
            <w:pPr>
              <w:spacing w:after="0"/>
              <w:jc w:val="center"/>
            </w:pPr>
            <w:r w:rsidRPr="009E56BC">
              <w:rPr>
                <w:noProof/>
                <w:lang w:eastAsia="it-IT"/>
              </w:rPr>
              <w:drawing>
                <wp:inline distT="0" distB="0" distL="0" distR="0" wp14:anchorId="203DAA0E" wp14:editId="78B1B0BA">
                  <wp:extent cx="3926610" cy="1908000"/>
                  <wp:effectExtent l="0" t="0" r="0" b="0"/>
                  <wp:docPr id="7" name="Immagine 1" descr="Consumi petroliferi 1971-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onsumi petroliferi 1971-2013"/>
                          <pic:cNvPicPr>
                            <a:picLocks noChangeAspect="1" noChangeArrowheads="1"/>
                          </pic:cNvPicPr>
                        </pic:nvPicPr>
                        <pic:blipFill>
                          <a:blip r:embed="rId10">
                            <a:extLst>
                              <a:ext uri="{28A0092B-C50C-407E-A947-70E740481C1C}">
                                <a14:useLocalDpi xmlns:a14="http://schemas.microsoft.com/office/drawing/2010/main" val="0"/>
                              </a:ext>
                            </a:extLst>
                          </a:blip>
                          <a:srcRect l="-5" t="6303" r="-8"/>
                          <a:stretch>
                            <a:fillRect/>
                          </a:stretch>
                        </pic:blipFill>
                        <pic:spPr bwMode="auto">
                          <a:xfrm>
                            <a:off x="0" y="0"/>
                            <a:ext cx="3928906" cy="1909116"/>
                          </a:xfrm>
                          <a:prstGeom prst="rect">
                            <a:avLst/>
                          </a:prstGeom>
                          <a:noFill/>
                          <a:ln>
                            <a:noFill/>
                          </a:ln>
                        </pic:spPr>
                      </pic:pic>
                    </a:graphicData>
                  </a:graphic>
                </wp:inline>
              </w:drawing>
            </w:r>
          </w:p>
          <w:p w:rsidR="00AA6552" w:rsidRDefault="009E56BC" w:rsidP="00AA6552">
            <w:pPr>
              <w:spacing w:after="0"/>
            </w:pPr>
            <w:r w:rsidRPr="009E56BC">
              <w:t xml:space="preserve"> </w:t>
            </w:r>
          </w:p>
          <w:p w:rsidR="007243CF" w:rsidRDefault="007243CF" w:rsidP="009E56BC">
            <w:pPr>
              <w:pStyle w:val="Titolo1"/>
              <w:spacing w:after="0"/>
            </w:pPr>
            <w:bookmarkStart w:id="4" w:name="_Toc398128207"/>
            <w:bookmarkStart w:id="5" w:name="_Toc398203750"/>
            <w:bookmarkStart w:id="6" w:name="_Toc398278645"/>
          </w:p>
          <w:p w:rsidR="009E56BC" w:rsidRPr="009E56BC" w:rsidRDefault="009E56BC" w:rsidP="009E56BC">
            <w:pPr>
              <w:pStyle w:val="Titolo1"/>
              <w:spacing w:after="0"/>
            </w:pPr>
            <w:r w:rsidRPr="009E56BC">
              <w:t>2) Benzina o gasolio? L’andamento del mercato.</w:t>
            </w:r>
            <w:bookmarkEnd w:id="4"/>
            <w:bookmarkEnd w:id="5"/>
            <w:bookmarkEnd w:id="6"/>
          </w:p>
          <w:p w:rsidR="009E56BC" w:rsidRPr="009E56BC" w:rsidRDefault="009E56BC" w:rsidP="009E56BC">
            <w:pPr>
              <w:pStyle w:val="Titolo4"/>
              <w:spacing w:after="0"/>
            </w:pPr>
            <w:r w:rsidRPr="009E56BC">
              <w:t>2.1 In Italia</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E’ interessante analizzare l’andamento negli anni  della produzione e del consumo dei due derivati fondamentali del petrolio. Benzina e gasolio hanno subito variazioni di produzione e consumo soprattutto in funzione delle normative fiscali avvicendatesi nei decenni. Queste hanno dato luogo altresì a variazioni nel mercato delle auto e, di conseguenza, nelle immatricolazioni conseguenti.</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Ci riferiamo soprattutto alla imposizione del cosiddetto superbollo,  una </w:t>
            </w:r>
            <w:hyperlink r:id="rId11" w:tooltip="Tassa" w:history="1">
              <w:r w:rsidRPr="009E56BC">
                <w:rPr>
                  <w:rStyle w:val="Collegamentoipertestuale"/>
                  <w:rFonts w:cs="Times New Roman"/>
                  <w:b/>
                  <w:color w:val="17365D" w:themeColor="text2" w:themeShade="BF"/>
                  <w:sz w:val="24"/>
                  <w:szCs w:val="24"/>
                </w:rPr>
                <w:t>tassa</w:t>
              </w:r>
            </w:hyperlink>
            <w:r w:rsidRPr="009E56BC">
              <w:rPr>
                <w:rFonts w:cs="Times New Roman"/>
                <w:color w:val="17365D" w:themeColor="text2" w:themeShade="BF"/>
                <w:sz w:val="24"/>
                <w:szCs w:val="24"/>
              </w:rPr>
              <w:t xml:space="preserve"> (suggerita dai ns. costruttori?) introdotta nel </w:t>
            </w:r>
            <w:hyperlink r:id="rId12" w:tooltip="1976" w:history="1">
              <w:r w:rsidRPr="009E56BC">
                <w:rPr>
                  <w:rStyle w:val="Collegamentoipertestuale"/>
                  <w:rFonts w:cs="Times New Roman"/>
                  <w:b/>
                  <w:color w:val="17365D" w:themeColor="text2" w:themeShade="BF"/>
                  <w:sz w:val="24"/>
                  <w:szCs w:val="24"/>
                </w:rPr>
                <w:t>1976</w:t>
              </w:r>
            </w:hyperlink>
            <w:r w:rsidRPr="009E56BC">
              <w:rPr>
                <w:rFonts w:cs="Times New Roman"/>
                <w:color w:val="17365D" w:themeColor="text2" w:themeShade="BF"/>
                <w:sz w:val="24"/>
                <w:szCs w:val="24"/>
              </w:rPr>
              <w:t> e rimasta in vigore fino al </w:t>
            </w:r>
            <w:hyperlink r:id="rId13" w:tooltip="1997" w:history="1">
              <w:r w:rsidRPr="009E56BC">
                <w:rPr>
                  <w:rStyle w:val="Collegamentoipertestuale"/>
                  <w:rFonts w:cs="Times New Roman"/>
                  <w:b/>
                  <w:color w:val="17365D" w:themeColor="text2" w:themeShade="BF"/>
                  <w:sz w:val="24"/>
                  <w:szCs w:val="24"/>
                </w:rPr>
                <w:t>1997</w:t>
              </w:r>
            </w:hyperlink>
            <w:r w:rsidRPr="009E56BC">
              <w:rPr>
                <w:rFonts w:cs="Times New Roman"/>
                <w:color w:val="17365D" w:themeColor="text2" w:themeShade="BF"/>
                <w:sz w:val="24"/>
                <w:szCs w:val="24"/>
              </w:rPr>
              <w:t>. Consisteva in una addizionale al bollo per le </w:t>
            </w:r>
            <w:hyperlink r:id="rId14" w:tooltip="Automobili" w:history="1">
              <w:r w:rsidRPr="009E56BC">
                <w:rPr>
                  <w:rStyle w:val="Collegamentoipertestuale"/>
                  <w:rFonts w:cs="Times New Roman"/>
                  <w:b/>
                  <w:color w:val="17365D" w:themeColor="text2" w:themeShade="BF"/>
                  <w:sz w:val="24"/>
                  <w:szCs w:val="24"/>
                </w:rPr>
                <w:t>automobili</w:t>
              </w:r>
            </w:hyperlink>
            <w:r w:rsidRPr="009E56BC">
              <w:rPr>
                <w:rFonts w:cs="Times New Roman"/>
                <w:color w:val="17365D" w:themeColor="text2" w:themeShade="BF"/>
                <w:sz w:val="24"/>
                <w:szCs w:val="24"/>
              </w:rPr>
              <w:t> a </w:t>
            </w:r>
            <w:hyperlink r:id="rId15" w:tooltip="Motore diesel" w:history="1">
              <w:r w:rsidRPr="009E56BC">
                <w:rPr>
                  <w:rStyle w:val="Collegamentoipertestuale"/>
                  <w:rFonts w:cs="Times New Roman"/>
                  <w:b/>
                  <w:color w:val="17365D" w:themeColor="text2" w:themeShade="BF"/>
                  <w:sz w:val="24"/>
                  <w:szCs w:val="24"/>
                </w:rPr>
                <w:t>motore diesel</w:t>
              </w:r>
            </w:hyperlink>
            <w:r w:rsidRPr="009E56BC">
              <w:rPr>
                <w:rFonts w:cs="Times New Roman"/>
                <w:color w:val="17365D" w:themeColor="text2" w:themeShade="BF"/>
                <w:sz w:val="24"/>
                <w:szCs w:val="24"/>
              </w:rPr>
              <w:t> o alimentate a </w:t>
            </w:r>
            <w:hyperlink r:id="rId16" w:tooltip="Gas" w:history="1">
              <w:r w:rsidRPr="009E56BC">
                <w:rPr>
                  <w:rStyle w:val="Collegamentoipertestuale"/>
                  <w:rFonts w:cs="Times New Roman"/>
                  <w:b/>
                  <w:color w:val="17365D" w:themeColor="text2" w:themeShade="BF"/>
                  <w:sz w:val="24"/>
                  <w:szCs w:val="24"/>
                </w:rPr>
                <w:t>gas</w:t>
              </w:r>
            </w:hyperlink>
            <w:r w:rsidRPr="009E56BC">
              <w:rPr>
                <w:rFonts w:cs="Times New Roman"/>
                <w:color w:val="17365D" w:themeColor="text2" w:themeShade="BF"/>
                <w:sz w:val="24"/>
                <w:szCs w:val="24"/>
              </w:rPr>
              <w:t>, di notevole entità. L'incidenza della tassa fu tanto  pesante da comportare conseguenze nel mercato auto – specie in Italia - dove le motorizzazioni a </w:t>
            </w:r>
            <w:hyperlink r:id="rId17" w:tooltip="Benzina" w:history="1">
              <w:r w:rsidRPr="009E56BC">
                <w:rPr>
                  <w:rStyle w:val="Collegamentoipertestuale"/>
                  <w:rFonts w:cs="Times New Roman"/>
                  <w:b/>
                  <w:color w:val="17365D" w:themeColor="text2" w:themeShade="BF"/>
                  <w:sz w:val="24"/>
                  <w:szCs w:val="24"/>
                </w:rPr>
                <w:t>benzina</w:t>
              </w:r>
            </w:hyperlink>
            <w:r w:rsidRPr="009E56BC">
              <w:rPr>
                <w:rFonts w:cs="Times New Roman"/>
                <w:color w:val="17365D" w:themeColor="text2" w:themeShade="BF"/>
                <w:sz w:val="24"/>
                <w:szCs w:val="24"/>
              </w:rPr>
              <w:t xml:space="preserve">, non gravate dal superbollo, furono sostenute nelle vendite. </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Per la verità, in quel periodo la Fiat aveva deciso di non partecipare al nascente, ma già molto promettente, mercato dei fuoristrada; non solo, ma decise addirittura di cessare la produzione della Campagnola, una “jeep” per l’Esercito che avrebbe potuto inserirsi con successo nel settore specifico.</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Il superbollo fu abolito nel 1997. Da quel momento, il mercato per i veicoli alimentati a diesel e a gas cominciò a crescere superando, dal 2004, le vendite di modelli alimentati a benzina. In quell’anno, le auto alimentate a gasolio crebbero di ben 10 punti percentuali, raggiungendo il 58,5 % del totale delle immatricolazioni contro il 48,9 del 2003.</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Riportiamo (FIG. 2-) la disaggregazione per tipo di alimentazione delle vetture immatricolate in Italia.</w:t>
            </w:r>
          </w:p>
          <w:p w:rsidR="009E56BC" w:rsidRPr="009E56BC" w:rsidRDefault="009E56BC" w:rsidP="009E56BC">
            <w:pPr>
              <w:spacing w:after="0"/>
            </w:pPr>
          </w:p>
          <w:p w:rsidR="009E56BC" w:rsidRPr="009E56BC" w:rsidRDefault="009E56BC" w:rsidP="009E56BC">
            <w:pPr>
              <w:spacing w:after="0"/>
              <w:jc w:val="center"/>
              <w:rPr>
                <w:b/>
              </w:rPr>
            </w:pPr>
            <w:r w:rsidRPr="009E56BC">
              <w:rPr>
                <w:b/>
              </w:rPr>
              <w:t xml:space="preserve">FIG. 2- Immatricolazioni per tipo di alimentazione </w:t>
            </w:r>
          </w:p>
          <w:p w:rsidR="009E56BC" w:rsidRPr="009E56BC" w:rsidRDefault="009E56BC" w:rsidP="009E56BC">
            <w:pPr>
              <w:spacing w:after="0"/>
              <w:jc w:val="center"/>
              <w:rPr>
                <w:b/>
              </w:rPr>
            </w:pPr>
            <w:r w:rsidRPr="009E56BC">
              <w:rPr>
                <w:b/>
              </w:rPr>
              <w:t>dal 2007 al 4-2014</w:t>
            </w:r>
          </w:p>
          <w:p w:rsidR="009E56BC" w:rsidRPr="009E56BC" w:rsidRDefault="009E56BC" w:rsidP="009E56BC">
            <w:pPr>
              <w:spacing w:after="0"/>
              <w:jc w:val="center"/>
              <w:rPr>
                <w:b/>
              </w:rPr>
            </w:pPr>
            <w:r w:rsidRPr="009E56BC">
              <w:rPr>
                <w:b/>
              </w:rPr>
              <w:t>Fonte UNRAE. Valori percentuali</w:t>
            </w:r>
          </w:p>
          <w:p w:rsidR="009E56BC" w:rsidRPr="009E56BC" w:rsidRDefault="009E56BC" w:rsidP="009E56BC">
            <w:pPr>
              <w:spacing w:after="0"/>
              <w:jc w:val="center"/>
            </w:pPr>
            <w:r w:rsidRPr="009E56BC">
              <w:rPr>
                <w:noProof/>
                <w:lang w:eastAsia="it-IT"/>
              </w:rPr>
              <w:drawing>
                <wp:inline distT="0" distB="0" distL="0" distR="0" wp14:anchorId="53D5C103" wp14:editId="4A5A6A14">
                  <wp:extent cx="3398400" cy="1807200"/>
                  <wp:effectExtent l="0" t="0" r="0" b="3175"/>
                  <wp:docPr id="8" name="Immagine 4" descr="Vetture per alimentazi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Vetture per alimentazione"/>
                          <pic:cNvPicPr>
                            <a:picLocks noChangeAspect="1" noChangeArrowheads="1"/>
                          </pic:cNvPicPr>
                        </pic:nvPicPr>
                        <pic:blipFill>
                          <a:blip r:embed="rId18">
                            <a:extLst>
                              <a:ext uri="{28A0092B-C50C-407E-A947-70E740481C1C}">
                                <a14:useLocalDpi xmlns:a14="http://schemas.microsoft.com/office/drawing/2010/main" val="0"/>
                              </a:ext>
                            </a:extLst>
                          </a:blip>
                          <a:srcRect t="13187"/>
                          <a:stretch>
                            <a:fillRect/>
                          </a:stretch>
                        </pic:blipFill>
                        <pic:spPr bwMode="auto">
                          <a:xfrm>
                            <a:off x="0" y="0"/>
                            <a:ext cx="3406678" cy="1811602"/>
                          </a:xfrm>
                          <a:prstGeom prst="rect">
                            <a:avLst/>
                          </a:prstGeom>
                          <a:noFill/>
                          <a:ln>
                            <a:noFill/>
                          </a:ln>
                        </pic:spPr>
                      </pic:pic>
                    </a:graphicData>
                  </a:graphic>
                </wp:inline>
              </w:drawing>
            </w: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Nei primi 4 mesi del 2014, le immatricolazioni di autoveicoli  a gasolio si attestano al 56,4 % (erano al 41,8% cinque anni fa), quelle alimentate a benzina superano di poco il 30 % (erano al 36,2 nel 2009).</w:t>
            </w:r>
          </w:p>
          <w:p w:rsidR="009E56BC" w:rsidRPr="009E56BC" w:rsidRDefault="009E56BC" w:rsidP="009E56BC">
            <w:pPr>
              <w:spacing w:after="0"/>
              <w:rPr>
                <w:rFonts w:cs="Times New Roman"/>
                <w:color w:val="17365D" w:themeColor="text2" w:themeShade="BF"/>
                <w:sz w:val="24"/>
                <w:szCs w:val="24"/>
              </w:rPr>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Per quanto riguarda il numero delle vetture immatricolate, la tabella che segue (TAB.1-) mostra l’andamento degli ultimi cinque anni e il, peso delle vetture estere sul totale. Si consideri che l’anno di gloria delle immatricolazioni in Itali è stato il 2007 con 2.490.570 veicoli di cui 1.708.922 di provenienza estera.</w:t>
            </w:r>
          </w:p>
          <w:p w:rsidR="009E56BC" w:rsidRPr="009E56BC" w:rsidRDefault="009E56BC" w:rsidP="009E56BC">
            <w:pPr>
              <w:spacing w:after="0"/>
            </w:pPr>
          </w:p>
          <w:p w:rsidR="009E56BC" w:rsidRPr="009E56BC" w:rsidRDefault="009E56BC" w:rsidP="009E56BC">
            <w:pPr>
              <w:spacing w:after="0"/>
              <w:jc w:val="center"/>
              <w:rPr>
                <w:b/>
              </w:rPr>
            </w:pPr>
            <w:r w:rsidRPr="009E56BC">
              <w:rPr>
                <w:b/>
              </w:rPr>
              <w:t>TAB. 1- Immatricolazioni dal 2009 ad oggi in Italia</w:t>
            </w:r>
          </w:p>
          <w:p w:rsidR="009E56BC" w:rsidRPr="009E56BC" w:rsidRDefault="009E56BC" w:rsidP="009E56BC">
            <w:pPr>
              <w:spacing w:after="0"/>
              <w:jc w:val="center"/>
              <w:rPr>
                <w:b/>
              </w:rPr>
            </w:pPr>
            <w:r w:rsidRPr="009E56BC">
              <w:rPr>
                <w:b/>
              </w:rPr>
              <w:t>Fonte Motornet.it</w:t>
            </w:r>
          </w:p>
          <w:p w:rsidR="009E56BC" w:rsidRPr="009E56BC" w:rsidRDefault="009E56BC" w:rsidP="009E56BC">
            <w:pPr>
              <w:spacing w:after="0"/>
              <w:jc w:val="center"/>
              <w:rPr>
                <w:b/>
              </w:rPr>
            </w:pPr>
          </w:p>
          <w:tbl>
            <w:tblPr>
              <w:tblStyle w:val="Grigliatabella"/>
              <w:tblW w:w="0" w:type="auto"/>
              <w:jc w:val="center"/>
              <w:tblInd w:w="959" w:type="dxa"/>
              <w:tblLook w:val="04A0" w:firstRow="1" w:lastRow="0" w:firstColumn="1" w:lastColumn="0" w:noHBand="0" w:noVBand="1"/>
            </w:tblPr>
            <w:tblGrid>
              <w:gridCol w:w="1482"/>
              <w:gridCol w:w="2440"/>
              <w:gridCol w:w="2439"/>
              <w:gridCol w:w="2438"/>
            </w:tblGrid>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tcPr>
                <w:p w:rsidR="009E56BC" w:rsidRPr="009E56BC" w:rsidRDefault="009E56BC" w:rsidP="009E56BC">
                  <w:pPr>
                    <w:spacing w:after="0"/>
                    <w:jc w:val="center"/>
                    <w:rPr>
                      <w:rFonts w:ascii="Century Gothic" w:hAnsi="Century Gothic"/>
                      <w:b/>
                      <w:lang w:eastAsia="en-US"/>
                    </w:rPr>
                  </w:pPr>
                </w:p>
              </w:tc>
              <w:tc>
                <w:tcPr>
                  <w:tcW w:w="2444"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Totale veicoli immatricolati</w:t>
                  </w:r>
                </w:p>
              </w:tc>
              <w:tc>
                <w:tcPr>
                  <w:tcW w:w="244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….di cui estere</w:t>
                  </w:r>
                </w:p>
              </w:tc>
              <w:tc>
                <w:tcPr>
                  <w:tcW w:w="244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Peso vetture estere su vetture italiane</w:t>
                  </w: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tcPr>
                <w:p w:rsidR="009E56BC" w:rsidRPr="009E56BC" w:rsidRDefault="009E56BC" w:rsidP="009E56BC">
                  <w:pPr>
                    <w:spacing w:after="0"/>
                    <w:rPr>
                      <w:rFonts w:ascii="Century Gothic" w:hAnsi="Century Gothic"/>
                      <w:b/>
                      <w:lang w:eastAsia="en-US"/>
                    </w:rPr>
                  </w:pPr>
                </w:p>
              </w:tc>
              <w:tc>
                <w:tcPr>
                  <w:tcW w:w="2444" w:type="dxa"/>
                  <w:tcBorders>
                    <w:top w:val="single" w:sz="2" w:space="0" w:color="000000"/>
                    <w:left w:val="single" w:sz="2" w:space="0" w:color="000000"/>
                    <w:bottom w:val="single" w:sz="4" w:space="0" w:color="000000"/>
                    <w:right w:val="single" w:sz="4" w:space="0" w:color="000000"/>
                  </w:tcBorders>
                  <w:vAlign w:val="center"/>
                </w:tcPr>
                <w:p w:rsidR="009E56BC" w:rsidRPr="009E56BC" w:rsidRDefault="009E56BC" w:rsidP="009E56BC">
                  <w:pPr>
                    <w:spacing w:after="0"/>
                    <w:rPr>
                      <w:rFonts w:ascii="Century Gothic" w:hAnsi="Century Gothic"/>
                      <w:lang w:eastAsia="en-US"/>
                    </w:rPr>
                  </w:pPr>
                </w:p>
              </w:tc>
              <w:tc>
                <w:tcPr>
                  <w:tcW w:w="2445" w:type="dxa"/>
                  <w:tcBorders>
                    <w:top w:val="single" w:sz="2" w:space="0" w:color="000000"/>
                    <w:left w:val="single" w:sz="4" w:space="0" w:color="000000"/>
                    <w:bottom w:val="single" w:sz="4" w:space="0" w:color="000000"/>
                    <w:right w:val="single" w:sz="4" w:space="0" w:color="000000"/>
                  </w:tcBorders>
                  <w:vAlign w:val="center"/>
                </w:tcPr>
                <w:p w:rsidR="009E56BC" w:rsidRPr="009E56BC" w:rsidRDefault="009E56BC" w:rsidP="009E56BC">
                  <w:pPr>
                    <w:spacing w:after="0"/>
                    <w:rPr>
                      <w:rFonts w:ascii="Century Gothic" w:hAnsi="Century Gothic"/>
                      <w:lang w:eastAsia="en-US"/>
                    </w:rPr>
                  </w:pPr>
                </w:p>
              </w:tc>
              <w:tc>
                <w:tcPr>
                  <w:tcW w:w="2445" w:type="dxa"/>
                  <w:tcBorders>
                    <w:top w:val="single" w:sz="2" w:space="0" w:color="000000"/>
                    <w:left w:val="single" w:sz="4" w:space="0" w:color="000000"/>
                    <w:bottom w:val="single" w:sz="4" w:space="0" w:color="000000"/>
                    <w:right w:val="single" w:sz="4" w:space="0" w:color="000000"/>
                  </w:tcBorders>
                  <w:vAlign w:val="center"/>
                </w:tcPr>
                <w:p w:rsidR="009E56BC" w:rsidRPr="009E56BC" w:rsidRDefault="009E56BC" w:rsidP="009E56BC">
                  <w:pPr>
                    <w:spacing w:after="0"/>
                    <w:rPr>
                      <w:rFonts w:ascii="Century Gothic" w:hAnsi="Century Gothic"/>
                      <w:lang w:eastAsia="en-US"/>
                    </w:rPr>
                  </w:pP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2009</w:t>
                  </w:r>
                </w:p>
              </w:tc>
              <w:tc>
                <w:tcPr>
                  <w:tcW w:w="2444" w:type="dxa"/>
                  <w:tcBorders>
                    <w:top w:val="single" w:sz="4" w:space="0" w:color="000000"/>
                    <w:left w:val="single" w:sz="2"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2.158.010</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1.447.140</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67,06 %</w:t>
                  </w: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2010</w:t>
                  </w:r>
                </w:p>
              </w:tc>
              <w:tc>
                <w:tcPr>
                  <w:tcW w:w="2444" w:type="dxa"/>
                  <w:tcBorders>
                    <w:top w:val="single" w:sz="4" w:space="0" w:color="000000"/>
                    <w:left w:val="single" w:sz="2"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1.960.282</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1.364.698</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69,62 %</w:t>
                  </w: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2011</w:t>
                  </w:r>
                </w:p>
              </w:tc>
              <w:tc>
                <w:tcPr>
                  <w:tcW w:w="2444" w:type="dxa"/>
                  <w:tcBorders>
                    <w:top w:val="single" w:sz="4" w:space="0" w:color="000000"/>
                    <w:left w:val="single" w:sz="2"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1.748.143</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1.238.059</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70,82 %</w:t>
                  </w: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2012</w:t>
                  </w:r>
                </w:p>
              </w:tc>
              <w:tc>
                <w:tcPr>
                  <w:tcW w:w="2444" w:type="dxa"/>
                  <w:tcBorders>
                    <w:top w:val="single" w:sz="4" w:space="0" w:color="000000"/>
                    <w:left w:val="single" w:sz="2"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1.402.089</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986.454</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xml:space="preserve">70,36 % </w:t>
                  </w: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2013</w:t>
                  </w:r>
                </w:p>
              </w:tc>
              <w:tc>
                <w:tcPr>
                  <w:tcW w:w="2444" w:type="dxa"/>
                  <w:tcBorders>
                    <w:top w:val="single" w:sz="4" w:space="0" w:color="000000"/>
                    <w:left w:val="single" w:sz="2"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1.214.237</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869.862</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71,64 %</w:t>
                  </w:r>
                </w:p>
              </w:tc>
            </w:tr>
            <w:tr w:rsidR="009E56BC" w:rsidRPr="009E56BC" w:rsidTr="009E56BC">
              <w:trPr>
                <w:jc w:val="center"/>
              </w:trPr>
              <w:tc>
                <w:tcPr>
                  <w:tcW w:w="1485"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2014</w:t>
                  </w:r>
                </w:p>
              </w:tc>
              <w:tc>
                <w:tcPr>
                  <w:tcW w:w="2444" w:type="dxa"/>
                  <w:tcBorders>
                    <w:top w:val="single" w:sz="4" w:space="0" w:color="000000"/>
                    <w:left w:val="single" w:sz="2"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628.719</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270.219</w:t>
                  </w:r>
                </w:p>
              </w:tc>
              <w:tc>
                <w:tcPr>
                  <w:tcW w:w="2445" w:type="dxa"/>
                  <w:tcBorders>
                    <w:top w:val="single" w:sz="4" w:space="0" w:color="000000"/>
                    <w:left w:val="single" w:sz="4" w:space="0" w:color="000000"/>
                    <w:bottom w:val="single" w:sz="4" w:space="0" w:color="000000"/>
                    <w:right w:val="single" w:sz="4" w:space="0" w:color="000000"/>
                  </w:tcBorders>
                  <w:vAlign w:val="center"/>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71,77 %</w:t>
                  </w:r>
                </w:p>
              </w:tc>
            </w:tr>
          </w:tbl>
          <w:p w:rsidR="009E56BC" w:rsidRPr="009E56BC" w:rsidRDefault="009E56BC" w:rsidP="009E56BC">
            <w:pPr>
              <w:spacing w:after="0"/>
              <w:jc w:val="center"/>
              <w:rPr>
                <w:b/>
              </w:rPr>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E’ evidente il declino causato dalla crisi perdurante proprio dal 2007.</w:t>
            </w:r>
          </w:p>
          <w:p w:rsidR="009E56BC" w:rsidRPr="009E56BC" w:rsidRDefault="009E56BC" w:rsidP="009E56BC">
            <w:pPr>
              <w:spacing w:after="0"/>
              <w:rPr>
                <w:rFonts w:cs="Times New Roman"/>
                <w:color w:val="17365D" w:themeColor="text2" w:themeShade="BF"/>
                <w:sz w:val="24"/>
                <w:szCs w:val="24"/>
              </w:rPr>
            </w:pPr>
          </w:p>
          <w:p w:rsidR="009E56BC" w:rsidRPr="009E56BC" w:rsidRDefault="009E56BC" w:rsidP="009E56BC">
            <w:pPr>
              <w:spacing w:after="0"/>
              <w:rPr>
                <w:rFonts w:cs="Times New Roman"/>
                <w:color w:val="17365D" w:themeColor="text2" w:themeShade="BF"/>
                <w:sz w:val="24"/>
                <w:szCs w:val="24"/>
              </w:rPr>
            </w:pPr>
            <w:r w:rsidRPr="009E56BC">
              <w:rPr>
                <w:rFonts w:cs="Times New Roman"/>
                <w:b/>
                <w:color w:val="17365D" w:themeColor="text2" w:themeShade="BF"/>
                <w:sz w:val="24"/>
                <w:szCs w:val="24"/>
              </w:rPr>
              <w:t>MEMO:</w:t>
            </w:r>
            <w:r w:rsidRPr="009E56BC">
              <w:rPr>
                <w:rFonts w:cs="Times New Roman"/>
                <w:color w:val="17365D" w:themeColor="text2" w:themeShade="BF"/>
                <w:sz w:val="24"/>
                <w:szCs w:val="24"/>
              </w:rPr>
              <w:t xml:space="preserve"> Nel 2013, su un parco autoveicoli circolanti di 49.013140, il 75 %  - pari a 36.962.934 - era costituito da autovetture, in calo rispetto al dato massimo di 37.113.300  raggiunto nel 2011.</w:t>
            </w:r>
          </w:p>
          <w:p w:rsidR="009E56BC" w:rsidRPr="009E56BC" w:rsidRDefault="009E56BC" w:rsidP="009E56BC">
            <w:pPr>
              <w:spacing w:after="0"/>
              <w:rPr>
                <w:b/>
              </w:rPr>
            </w:pPr>
          </w:p>
          <w:p w:rsidR="009E56BC" w:rsidRPr="009E56BC" w:rsidRDefault="009E56BC" w:rsidP="009E56BC">
            <w:pPr>
              <w:pStyle w:val="Titolo4"/>
              <w:spacing w:after="0"/>
            </w:pPr>
            <w:r w:rsidRPr="009E56BC">
              <w:t>2.2 In Europa</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Nel 2013 in Europa sono state immatricolate 11,8 milioni di autovetture nuove. Anche in Europa, il picco massimo di vendite è stato quello del 2007 con 15,5 milioni di veicoli. La diminuzione è stata particolarmente accentuata in Grecia con - 80% in Grecia, - 54% in Spagna mentre si sono dimezzate in Italia e Portogallo.</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 xml:space="preserve"> Nel 2013, le auto Diesel (55% del mercato europeo) hanno avuto picchi del 70% in Francia e Spagna. Sempre nel  2013, sono stati immatricolati 24000 veicoli elettrici, in crescita del 71% rispetto all’anno precedente. Circa 31000 auto ibride sono state registrate nel 2013. L'Italia è il paese per il quale l'aumento di questi veicoli (essenzialmente GPL e biometano) nel 2013 è stato più alto (+ 97% rispetto al 2011). Il fenomeno è  soggetto a diverse variabili, non ultima la crescita del prezzo del gasolio. [Fonte: Agenzia europea per l’ambiente] </w:t>
            </w:r>
          </w:p>
          <w:p w:rsidR="009E56BC" w:rsidRPr="009E56BC" w:rsidRDefault="009E56BC" w:rsidP="009E56BC">
            <w:pPr>
              <w:spacing w:after="0"/>
              <w:rPr>
                <w:rFonts w:cs="Helvetica"/>
                <w:color w:val="FF0000"/>
                <w:sz w:val="21"/>
                <w:szCs w:val="21"/>
                <w:shd w:val="clear" w:color="auto" w:fill="FFFFFF"/>
              </w:rPr>
            </w:pPr>
          </w:p>
          <w:p w:rsidR="009E56BC" w:rsidRPr="009E56BC" w:rsidRDefault="009E56BC" w:rsidP="009E56BC">
            <w:pPr>
              <w:spacing w:after="0"/>
              <w:jc w:val="center"/>
            </w:pPr>
          </w:p>
          <w:p w:rsidR="009E56BC" w:rsidRPr="009E56BC" w:rsidRDefault="009E56BC" w:rsidP="009E56BC">
            <w:pPr>
              <w:pStyle w:val="Titolo1"/>
              <w:spacing w:after="0"/>
            </w:pPr>
            <w:bookmarkStart w:id="7" w:name="_Toc398128208"/>
            <w:bookmarkStart w:id="8" w:name="_Toc398203751"/>
            <w:bookmarkStart w:id="9" w:name="_Toc398278646"/>
            <w:r w:rsidRPr="009E56BC">
              <w:t>3) Cause specifiche del calo delle immatricolazioni.</w:t>
            </w:r>
            <w:bookmarkEnd w:id="7"/>
            <w:bookmarkEnd w:id="8"/>
            <w:bookmarkEnd w:id="9"/>
          </w:p>
          <w:p w:rsidR="009E56BC" w:rsidRPr="009E56BC" w:rsidRDefault="009E56BC" w:rsidP="009E56BC">
            <w:pPr>
              <w:pStyle w:val="Titolo1"/>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spirale depressiva degli ultimi anni ha avuto riflessi negativi sulle immatricolazioni dei veicoli e, più in generale, sulla domanda di mobilità.</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Riportiamo cause del declino dal 2009 e valutazioni quantitative:</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1) Domanda di mobilità in giorno feriale: - 20 %</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2) Variazione degli spostamenti complessivi: -23,8 %</w:t>
            </w:r>
          </w:p>
          <w:p w:rsidR="009E56BC" w:rsidRPr="009E56BC" w:rsidRDefault="009E56BC" w:rsidP="009E56BC">
            <w:pPr>
              <w:spacing w:after="0"/>
              <w:ind w:left="742"/>
              <w:rPr>
                <w:rFonts w:cs="Times New Roman"/>
                <w:color w:val="17365D" w:themeColor="text2" w:themeShade="BF"/>
                <w:sz w:val="24"/>
                <w:szCs w:val="24"/>
              </w:rPr>
            </w:pPr>
            <w:r w:rsidRPr="009E56BC">
              <w:rPr>
                <w:rFonts w:cs="Times New Roman"/>
                <w:color w:val="17365D" w:themeColor="text2" w:themeShade="BF"/>
                <w:sz w:val="24"/>
                <w:szCs w:val="24"/>
              </w:rPr>
              <w:t>Di cui:</w:t>
            </w:r>
          </w:p>
          <w:p w:rsidR="009E56BC" w:rsidRPr="009E56BC" w:rsidRDefault="009E56BC" w:rsidP="009E56BC">
            <w:pPr>
              <w:spacing w:after="0"/>
              <w:ind w:left="742"/>
              <w:rPr>
                <w:rFonts w:cs="Times New Roman"/>
                <w:color w:val="17365D" w:themeColor="text2" w:themeShade="BF"/>
                <w:sz w:val="24"/>
                <w:szCs w:val="24"/>
              </w:rPr>
            </w:pPr>
            <w:r w:rsidRPr="009E56BC">
              <w:rPr>
                <w:rFonts w:cs="Times New Roman"/>
                <w:color w:val="17365D" w:themeColor="text2" w:themeShade="BF"/>
                <w:sz w:val="24"/>
                <w:szCs w:val="24"/>
              </w:rPr>
              <w:t>Spostamenti per lavoro: -20 %</w:t>
            </w:r>
          </w:p>
          <w:p w:rsidR="009E56BC" w:rsidRPr="009E56BC" w:rsidRDefault="009E56BC" w:rsidP="009E56BC">
            <w:pPr>
              <w:spacing w:after="0"/>
              <w:ind w:left="742"/>
              <w:rPr>
                <w:rFonts w:cs="Times New Roman"/>
                <w:color w:val="17365D" w:themeColor="text2" w:themeShade="BF"/>
                <w:sz w:val="24"/>
                <w:szCs w:val="24"/>
              </w:rPr>
            </w:pPr>
            <w:r w:rsidRPr="009E56BC">
              <w:rPr>
                <w:rFonts w:cs="Times New Roman"/>
                <w:color w:val="17365D" w:themeColor="text2" w:themeShade="BF"/>
                <w:sz w:val="24"/>
                <w:szCs w:val="24"/>
              </w:rPr>
              <w:t>Spostamenti per studio: - 2 %</w:t>
            </w:r>
          </w:p>
          <w:p w:rsidR="009E56BC" w:rsidRPr="009E56BC" w:rsidRDefault="009E56BC" w:rsidP="009E56BC">
            <w:pPr>
              <w:spacing w:after="0"/>
              <w:ind w:left="742"/>
              <w:rPr>
                <w:rFonts w:cs="Times New Roman"/>
                <w:color w:val="17365D" w:themeColor="text2" w:themeShade="BF"/>
                <w:sz w:val="24"/>
                <w:szCs w:val="24"/>
              </w:rPr>
            </w:pPr>
            <w:r w:rsidRPr="009E56BC">
              <w:rPr>
                <w:rFonts w:cs="Times New Roman"/>
                <w:color w:val="17365D" w:themeColor="text2" w:themeShade="BF"/>
                <w:sz w:val="24"/>
                <w:szCs w:val="24"/>
              </w:rPr>
              <w:t>Spostamenti per gestione familiare: - 7 %</w:t>
            </w:r>
          </w:p>
          <w:p w:rsidR="009E56BC" w:rsidRPr="009E56BC" w:rsidRDefault="009E56BC" w:rsidP="009E56BC">
            <w:pPr>
              <w:spacing w:after="0"/>
              <w:ind w:left="742"/>
              <w:rPr>
                <w:rFonts w:cs="Times New Roman"/>
                <w:color w:val="17365D" w:themeColor="text2" w:themeShade="BF"/>
                <w:sz w:val="24"/>
                <w:szCs w:val="24"/>
              </w:rPr>
            </w:pPr>
            <w:r w:rsidRPr="009E56BC">
              <w:rPr>
                <w:rFonts w:cs="Times New Roman"/>
                <w:color w:val="17365D" w:themeColor="text2" w:themeShade="BF"/>
                <w:sz w:val="24"/>
                <w:szCs w:val="24"/>
              </w:rPr>
              <w:t>Spostamenti per tempo libero: - 44 %</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 xml:space="preserve">3) Variazione dei passeggeri: </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Mezzi pubblici: - 13 %; mezzi privati: - 16 %</w:t>
            </w:r>
          </w:p>
          <w:p w:rsidR="009E56BC" w:rsidRPr="009E56BC" w:rsidRDefault="009E56BC" w:rsidP="009E56BC">
            <w:pPr>
              <w:spacing w:after="0"/>
              <w:rPr>
                <w:rFonts w:cs="Times New Roman"/>
                <w:color w:val="17365D" w:themeColor="text2" w:themeShade="BF"/>
                <w:sz w:val="24"/>
                <w:szCs w:val="24"/>
              </w:rPr>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 xml:space="preserve">Oltre al calo della mobilità, generalizzato in Europa, questi nuovi equilibri hanno accelerato il calo dei consumi di carburante e la conseguente chiusura di molti punti di rifornimento. </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Nei 5 anni, fatta eccezione per la Spagna che vede crescere i suoi distributori del 10,8 %, gli altri 4 paesi segnano un calo, marcato per Francia e Regno Unito, più leggero (-8,8% per l’Italia) sebbene a gennaio 2013 il numero delle ns. pompe (22.400) risulti  più del  doppio di quelle  inglesi (10.424) e il doppio delle francesi (11.662 ).</w:t>
            </w:r>
          </w:p>
          <w:p w:rsid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 dati nella tabella che segue:</w:t>
            </w:r>
          </w:p>
          <w:p w:rsidR="00502E1D" w:rsidRPr="009E56BC" w:rsidRDefault="00502E1D" w:rsidP="009E56BC">
            <w:pPr>
              <w:spacing w:after="0"/>
              <w:rPr>
                <w:rFonts w:cs="Times New Roman"/>
                <w:color w:val="17365D" w:themeColor="text2" w:themeShade="BF"/>
                <w:sz w:val="24"/>
                <w:szCs w:val="24"/>
              </w:rPr>
            </w:pPr>
          </w:p>
          <w:p w:rsidR="009E56BC" w:rsidRPr="009E56BC" w:rsidRDefault="009E56BC" w:rsidP="009E56BC">
            <w:pPr>
              <w:spacing w:after="0"/>
            </w:pPr>
          </w:p>
          <w:p w:rsidR="009E56BC" w:rsidRPr="009E56BC" w:rsidRDefault="009E56BC" w:rsidP="009E56BC">
            <w:pPr>
              <w:spacing w:after="0"/>
              <w:jc w:val="center"/>
              <w:rPr>
                <w:b/>
              </w:rPr>
            </w:pPr>
            <w:r w:rsidRPr="009E56BC">
              <w:rPr>
                <w:b/>
              </w:rPr>
              <w:t>TAB. 2- Numero di punti vendita di carburante 12-2009/ 1-2013</w:t>
            </w:r>
          </w:p>
          <w:p w:rsidR="009E56BC" w:rsidRPr="009E56BC" w:rsidRDefault="009E56BC" w:rsidP="009E56BC">
            <w:pPr>
              <w:spacing w:after="0"/>
              <w:jc w:val="center"/>
            </w:pPr>
            <w:r w:rsidRPr="009E56BC">
              <w:t>Fonte: Commissione europea – Energy policy</w:t>
            </w:r>
          </w:p>
          <w:tbl>
            <w:tblPr>
              <w:tblW w:w="5940" w:type="dxa"/>
              <w:jc w:val="center"/>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70" w:type="dxa"/>
                <w:right w:w="70" w:type="dxa"/>
              </w:tblCellMar>
              <w:tblLook w:val="04A0" w:firstRow="1" w:lastRow="0" w:firstColumn="1" w:lastColumn="0" w:noHBand="0" w:noVBand="1"/>
            </w:tblPr>
            <w:tblGrid>
              <w:gridCol w:w="1740"/>
              <w:gridCol w:w="1564"/>
              <w:gridCol w:w="1318"/>
              <w:gridCol w:w="1318"/>
            </w:tblGrid>
            <w:tr w:rsidR="009E56BC" w:rsidRPr="009E56BC" w:rsidTr="009E56BC">
              <w:trPr>
                <w:trHeight w:val="360"/>
                <w:jc w:val="center"/>
              </w:trPr>
              <w:tc>
                <w:tcPr>
                  <w:tcW w:w="1740"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tcPr>
                <w:p w:rsidR="009E56BC" w:rsidRPr="009E56BC" w:rsidRDefault="009E56BC" w:rsidP="00502E1D">
                  <w:pPr>
                    <w:spacing w:after="0" w:line="240" w:lineRule="auto"/>
                    <w:jc w:val="left"/>
                    <w:rPr>
                      <w:b/>
                    </w:rPr>
                  </w:pPr>
                </w:p>
              </w:tc>
              <w:tc>
                <w:tcPr>
                  <w:tcW w:w="1564"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center"/>
                    <w:rPr>
                      <w:b/>
                    </w:rPr>
                  </w:pPr>
                  <w:r w:rsidRPr="009E56BC">
                    <w:rPr>
                      <w:b/>
                    </w:rPr>
                    <w:t>12- 2009</w:t>
                  </w:r>
                </w:p>
              </w:tc>
              <w:tc>
                <w:tcPr>
                  <w:tcW w:w="1318"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right"/>
                    <w:rPr>
                      <w:b/>
                    </w:rPr>
                  </w:pPr>
                  <w:r w:rsidRPr="009E56BC">
                    <w:rPr>
                      <w:b/>
                    </w:rPr>
                    <w:t>1-2013</w:t>
                  </w:r>
                </w:p>
              </w:tc>
              <w:tc>
                <w:tcPr>
                  <w:tcW w:w="1318"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hideMark/>
                </w:tcPr>
                <w:p w:rsidR="009E56BC" w:rsidRPr="009E56BC" w:rsidRDefault="009E56BC" w:rsidP="00502E1D">
                  <w:pPr>
                    <w:spacing w:after="0" w:line="240" w:lineRule="auto"/>
                    <w:jc w:val="right"/>
                    <w:rPr>
                      <w:b/>
                    </w:rPr>
                  </w:pPr>
                  <w:r w:rsidRPr="009E56BC">
                    <w:rPr>
                      <w:b/>
                    </w:rPr>
                    <w:t>Variazione 2013/2009</w:t>
                  </w:r>
                </w:p>
              </w:tc>
            </w:tr>
            <w:tr w:rsidR="009E56BC" w:rsidRPr="009E56BC" w:rsidTr="009E56BC">
              <w:trPr>
                <w:trHeight w:val="360"/>
                <w:jc w:val="center"/>
              </w:trPr>
              <w:tc>
                <w:tcPr>
                  <w:tcW w:w="1740"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left"/>
                    <w:rPr>
                      <w:b/>
                    </w:rPr>
                  </w:pPr>
                  <w:r w:rsidRPr="009E56BC">
                    <w:rPr>
                      <w:b/>
                    </w:rPr>
                    <w:t xml:space="preserve">Francia </w:t>
                  </w:r>
                </w:p>
              </w:tc>
              <w:tc>
                <w:tcPr>
                  <w:tcW w:w="1564"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13.504</w:t>
                  </w:r>
                </w:p>
              </w:tc>
              <w:tc>
                <w:tcPr>
                  <w:tcW w:w="1318"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 xml:space="preserve">      11.662 </w:t>
                  </w:r>
                </w:p>
              </w:tc>
              <w:tc>
                <w:tcPr>
                  <w:tcW w:w="1318" w:type="dxa"/>
                  <w:tcBorders>
                    <w:top w:val="single" w:sz="2" w:space="0" w:color="000000"/>
                    <w:left w:val="single" w:sz="2" w:space="0" w:color="000000"/>
                    <w:bottom w:val="single" w:sz="2" w:space="0" w:color="000000"/>
                    <w:right w:val="single" w:sz="2" w:space="0" w:color="000000"/>
                  </w:tcBorders>
                  <w:hideMark/>
                </w:tcPr>
                <w:p w:rsidR="009E56BC" w:rsidRPr="009E56BC" w:rsidRDefault="009E56BC" w:rsidP="00502E1D">
                  <w:pPr>
                    <w:spacing w:after="0" w:line="240" w:lineRule="auto"/>
                    <w:jc w:val="right"/>
                  </w:pPr>
                  <w:r w:rsidRPr="009E56BC">
                    <w:t>- 13,6 %</w:t>
                  </w:r>
                </w:p>
              </w:tc>
            </w:tr>
            <w:tr w:rsidR="009E56BC" w:rsidRPr="009E56BC" w:rsidTr="009E56BC">
              <w:trPr>
                <w:trHeight w:val="360"/>
                <w:jc w:val="center"/>
              </w:trPr>
              <w:tc>
                <w:tcPr>
                  <w:tcW w:w="1740"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left"/>
                    <w:rPr>
                      <w:b/>
                    </w:rPr>
                  </w:pPr>
                  <w:r w:rsidRPr="009E56BC">
                    <w:rPr>
                      <w:b/>
                    </w:rPr>
                    <w:t>Germania</w:t>
                  </w:r>
                </w:p>
              </w:tc>
              <w:tc>
                <w:tcPr>
                  <w:tcW w:w="1564"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15.187</w:t>
                  </w:r>
                </w:p>
              </w:tc>
              <w:tc>
                <w:tcPr>
                  <w:tcW w:w="1318"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 xml:space="preserve">      14.678 </w:t>
                  </w:r>
                </w:p>
              </w:tc>
              <w:tc>
                <w:tcPr>
                  <w:tcW w:w="1318" w:type="dxa"/>
                  <w:tcBorders>
                    <w:top w:val="single" w:sz="2" w:space="0" w:color="000000"/>
                    <w:left w:val="single" w:sz="2" w:space="0" w:color="000000"/>
                    <w:bottom w:val="single" w:sz="2" w:space="0" w:color="000000"/>
                    <w:right w:val="single" w:sz="2" w:space="0" w:color="000000"/>
                  </w:tcBorders>
                  <w:hideMark/>
                </w:tcPr>
                <w:p w:rsidR="009E56BC" w:rsidRPr="009E56BC" w:rsidRDefault="009E56BC" w:rsidP="00502E1D">
                  <w:pPr>
                    <w:spacing w:after="0" w:line="240" w:lineRule="auto"/>
                    <w:jc w:val="right"/>
                  </w:pPr>
                  <w:r w:rsidRPr="009E56BC">
                    <w:t>- 3,4 %</w:t>
                  </w:r>
                </w:p>
              </w:tc>
            </w:tr>
            <w:tr w:rsidR="009E56BC" w:rsidRPr="009E56BC" w:rsidTr="009E56BC">
              <w:trPr>
                <w:trHeight w:val="390"/>
                <w:jc w:val="center"/>
              </w:trPr>
              <w:tc>
                <w:tcPr>
                  <w:tcW w:w="1740"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left"/>
                    <w:rPr>
                      <w:b/>
                    </w:rPr>
                  </w:pPr>
                  <w:r w:rsidRPr="009E56BC">
                    <w:rPr>
                      <w:b/>
                    </w:rPr>
                    <w:t>ITALIA</w:t>
                  </w:r>
                </w:p>
              </w:tc>
              <w:tc>
                <w:tcPr>
                  <w:tcW w:w="1564"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24.571 </w:t>
                  </w:r>
                </w:p>
              </w:tc>
              <w:tc>
                <w:tcPr>
                  <w:tcW w:w="1318" w:type="dxa"/>
                  <w:tcBorders>
                    <w:top w:val="single" w:sz="2" w:space="0" w:color="000000"/>
                    <w:left w:val="single" w:sz="2" w:space="0" w:color="000000"/>
                    <w:bottom w:val="single" w:sz="2" w:space="0" w:color="000000"/>
                    <w:right w:val="single" w:sz="2" w:space="0" w:color="000000"/>
                  </w:tcBorders>
                  <w:noWrap/>
                  <w:vAlign w:val="center"/>
                  <w:hideMark/>
                </w:tcPr>
                <w:p w:rsidR="009E56BC" w:rsidRPr="009E56BC" w:rsidRDefault="009E56BC" w:rsidP="00502E1D">
                  <w:pPr>
                    <w:spacing w:after="0" w:line="240" w:lineRule="auto"/>
                    <w:jc w:val="right"/>
                  </w:pPr>
                  <w:r w:rsidRPr="009E56BC">
                    <w:t xml:space="preserve">      22.400</w:t>
                  </w:r>
                </w:p>
              </w:tc>
              <w:tc>
                <w:tcPr>
                  <w:tcW w:w="1318" w:type="dxa"/>
                  <w:tcBorders>
                    <w:top w:val="single" w:sz="2" w:space="0" w:color="000000"/>
                    <w:left w:val="single" w:sz="2" w:space="0" w:color="000000"/>
                    <w:bottom w:val="single" w:sz="2" w:space="0" w:color="000000"/>
                    <w:right w:val="single" w:sz="2" w:space="0" w:color="000000"/>
                  </w:tcBorders>
                  <w:hideMark/>
                </w:tcPr>
                <w:p w:rsidR="009E56BC" w:rsidRPr="009E56BC" w:rsidRDefault="009E56BC" w:rsidP="00502E1D">
                  <w:pPr>
                    <w:spacing w:after="0" w:line="240" w:lineRule="auto"/>
                    <w:jc w:val="right"/>
                  </w:pPr>
                  <w:r w:rsidRPr="009E56BC">
                    <w:t>- 8,8 %</w:t>
                  </w:r>
                </w:p>
              </w:tc>
            </w:tr>
            <w:tr w:rsidR="009E56BC" w:rsidRPr="009E56BC" w:rsidTr="009E56BC">
              <w:trPr>
                <w:trHeight w:val="360"/>
                <w:jc w:val="center"/>
              </w:trPr>
              <w:tc>
                <w:tcPr>
                  <w:tcW w:w="1740"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left"/>
                    <w:rPr>
                      <w:b/>
                    </w:rPr>
                  </w:pPr>
                  <w:r w:rsidRPr="009E56BC">
                    <w:rPr>
                      <w:b/>
                    </w:rPr>
                    <w:t xml:space="preserve">Regno Unito </w:t>
                  </w:r>
                </w:p>
              </w:tc>
              <w:tc>
                <w:tcPr>
                  <w:tcW w:w="1564"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9.764</w:t>
                  </w:r>
                </w:p>
              </w:tc>
              <w:tc>
                <w:tcPr>
                  <w:tcW w:w="1318"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 xml:space="preserve">        8.714 </w:t>
                  </w:r>
                </w:p>
              </w:tc>
              <w:tc>
                <w:tcPr>
                  <w:tcW w:w="1318" w:type="dxa"/>
                  <w:tcBorders>
                    <w:top w:val="single" w:sz="2" w:space="0" w:color="000000"/>
                    <w:left w:val="single" w:sz="2" w:space="0" w:color="000000"/>
                    <w:bottom w:val="single" w:sz="2" w:space="0" w:color="000000"/>
                    <w:right w:val="single" w:sz="2" w:space="0" w:color="000000"/>
                  </w:tcBorders>
                  <w:hideMark/>
                </w:tcPr>
                <w:p w:rsidR="009E56BC" w:rsidRPr="009E56BC" w:rsidRDefault="009E56BC" w:rsidP="00502E1D">
                  <w:pPr>
                    <w:spacing w:after="0" w:line="240" w:lineRule="auto"/>
                    <w:jc w:val="right"/>
                  </w:pPr>
                  <w:r w:rsidRPr="009E56BC">
                    <w:t>- 10,8 %</w:t>
                  </w:r>
                </w:p>
              </w:tc>
            </w:tr>
            <w:tr w:rsidR="009E56BC" w:rsidRPr="009E56BC" w:rsidTr="009E56BC">
              <w:trPr>
                <w:trHeight w:val="360"/>
                <w:jc w:val="center"/>
              </w:trPr>
              <w:tc>
                <w:tcPr>
                  <w:tcW w:w="1740" w:type="dxa"/>
                  <w:tcBorders>
                    <w:top w:val="single" w:sz="2" w:space="0" w:color="000000"/>
                    <w:left w:val="single" w:sz="2" w:space="0" w:color="000000"/>
                    <w:bottom w:val="single" w:sz="2" w:space="0" w:color="000000"/>
                    <w:right w:val="single" w:sz="2" w:space="0" w:color="000000"/>
                  </w:tcBorders>
                  <w:shd w:val="clear" w:color="auto" w:fill="C2D69B" w:themeFill="accent3" w:themeFillTint="99"/>
                  <w:vAlign w:val="center"/>
                  <w:hideMark/>
                </w:tcPr>
                <w:p w:rsidR="009E56BC" w:rsidRPr="009E56BC" w:rsidRDefault="009E56BC" w:rsidP="00502E1D">
                  <w:pPr>
                    <w:spacing w:after="0" w:line="240" w:lineRule="auto"/>
                    <w:jc w:val="left"/>
                    <w:rPr>
                      <w:b/>
                    </w:rPr>
                  </w:pPr>
                  <w:r w:rsidRPr="009E56BC">
                    <w:rPr>
                      <w:b/>
                    </w:rPr>
                    <w:t xml:space="preserve">Spagna  </w:t>
                  </w:r>
                </w:p>
              </w:tc>
              <w:tc>
                <w:tcPr>
                  <w:tcW w:w="1564"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8.638</w:t>
                  </w:r>
                </w:p>
              </w:tc>
              <w:tc>
                <w:tcPr>
                  <w:tcW w:w="1318" w:type="dxa"/>
                  <w:tcBorders>
                    <w:top w:val="single" w:sz="2" w:space="0" w:color="000000"/>
                    <w:left w:val="single" w:sz="2" w:space="0" w:color="000000"/>
                    <w:bottom w:val="single" w:sz="2" w:space="0" w:color="000000"/>
                    <w:right w:val="single" w:sz="2" w:space="0" w:color="000000"/>
                  </w:tcBorders>
                  <w:vAlign w:val="center"/>
                  <w:hideMark/>
                </w:tcPr>
                <w:p w:rsidR="009E56BC" w:rsidRPr="009E56BC" w:rsidRDefault="009E56BC" w:rsidP="00502E1D">
                  <w:pPr>
                    <w:spacing w:after="0" w:line="240" w:lineRule="auto"/>
                    <w:jc w:val="right"/>
                  </w:pPr>
                  <w:r w:rsidRPr="009E56BC">
                    <w:t xml:space="preserve">      10.424 </w:t>
                  </w:r>
                </w:p>
              </w:tc>
              <w:tc>
                <w:tcPr>
                  <w:tcW w:w="1318" w:type="dxa"/>
                  <w:tcBorders>
                    <w:top w:val="single" w:sz="2" w:space="0" w:color="000000"/>
                    <w:left w:val="single" w:sz="2" w:space="0" w:color="000000"/>
                    <w:bottom w:val="single" w:sz="2" w:space="0" w:color="000000"/>
                    <w:right w:val="single" w:sz="2" w:space="0" w:color="000000"/>
                  </w:tcBorders>
                  <w:hideMark/>
                </w:tcPr>
                <w:p w:rsidR="009E56BC" w:rsidRPr="009E56BC" w:rsidRDefault="009E56BC" w:rsidP="00502E1D">
                  <w:pPr>
                    <w:spacing w:after="0" w:line="240" w:lineRule="auto"/>
                    <w:jc w:val="right"/>
                  </w:pPr>
                  <w:r w:rsidRPr="009E56BC">
                    <w:t>+ 20,7 %</w:t>
                  </w:r>
                </w:p>
              </w:tc>
            </w:tr>
          </w:tbl>
          <w:p w:rsidR="009E56BC" w:rsidRPr="009E56BC" w:rsidRDefault="009E56BC" w:rsidP="009E56BC">
            <w:pPr>
              <w:spacing w:after="0"/>
              <w:jc w:val="center"/>
            </w:pPr>
          </w:p>
          <w:p w:rsidR="009E56BC" w:rsidRDefault="009E56BC" w:rsidP="009E56BC">
            <w:pPr>
              <w:pStyle w:val="Titolo1"/>
              <w:spacing w:before="0" w:after="0"/>
            </w:pPr>
          </w:p>
          <w:p w:rsidR="00AA6552" w:rsidRPr="009E56BC" w:rsidRDefault="00AA6552" w:rsidP="009E56BC">
            <w:pPr>
              <w:pStyle w:val="Titolo1"/>
              <w:spacing w:before="0" w:after="0"/>
            </w:pPr>
          </w:p>
          <w:p w:rsidR="009E56BC" w:rsidRPr="009E56BC" w:rsidRDefault="009E56BC" w:rsidP="009E56BC">
            <w:pPr>
              <w:pStyle w:val="Titolo1"/>
              <w:spacing w:before="0" w:after="0"/>
            </w:pPr>
          </w:p>
          <w:p w:rsidR="009E56BC" w:rsidRPr="009E56BC" w:rsidRDefault="009E56BC" w:rsidP="009E56BC">
            <w:pPr>
              <w:pStyle w:val="Titolo1"/>
              <w:spacing w:before="0" w:after="0"/>
            </w:pPr>
            <w:bookmarkStart w:id="10" w:name="_Toc398128209"/>
            <w:bookmarkStart w:id="11" w:name="_Toc398203752"/>
            <w:bookmarkStart w:id="12" w:name="_Toc398278647"/>
            <w:r w:rsidRPr="009E56BC">
              <w:t>4) Benzina e gasolio.</w:t>
            </w:r>
            <w:bookmarkEnd w:id="10"/>
            <w:bookmarkEnd w:id="11"/>
            <w:bookmarkEnd w:id="12"/>
            <w:r w:rsidRPr="009E56BC">
              <w:t xml:space="preserve"> </w:t>
            </w:r>
          </w:p>
          <w:p w:rsidR="009E56BC" w:rsidRPr="009E56BC" w:rsidRDefault="009E56BC" w:rsidP="009E56BC">
            <w:pPr>
              <w:pStyle w:val="Titolo1"/>
              <w:spacing w:before="0" w:after="0"/>
            </w:pPr>
            <w:bookmarkStart w:id="13" w:name="_Toc398128210"/>
            <w:bookmarkStart w:id="14" w:name="_Toc398203753"/>
            <w:bookmarkStart w:id="15" w:name="_Toc398278648"/>
            <w:r w:rsidRPr="009E56BC">
              <w:t>Consumo e prezzi nazionali e comparati.</w:t>
            </w:r>
            <w:bookmarkEnd w:id="13"/>
            <w:bookmarkEnd w:id="14"/>
            <w:bookmarkEnd w:id="15"/>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Le variabili di mercato appena delineate, sommate al sempre maggior utilizzo di fonti rinnovabili, hanno portato ad un abbattimento dei consumi nazionali e ad un aumento dei prezzi di benzina e gasolio, anche dovuti agli aumenti del peso fiscale, comoda leva di tutti i governi succedutisi nei vari decenni in Italia.</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Per quanto riguarda il consumo di derivati del petrolio in Italia, la tabella che segue ne evidenzia l’andamento dal 2009 al 2013: nei 5 anni,  diminuzione per il consumo di benzina ( -24,7 %), discesa di circa il 10 % per il gasolio per autotrazione, crollo del 30 % per quella da riscaldamento.</w:t>
            </w:r>
          </w:p>
          <w:p w:rsidR="009E56BC" w:rsidRPr="009E56BC" w:rsidRDefault="009E56BC" w:rsidP="009E56BC">
            <w:pPr>
              <w:tabs>
                <w:tab w:val="left" w:pos="8364"/>
              </w:tabs>
              <w:spacing w:after="0"/>
            </w:pPr>
          </w:p>
          <w:p w:rsidR="009E56BC" w:rsidRPr="009E56BC" w:rsidRDefault="009E56BC" w:rsidP="009E56BC">
            <w:pPr>
              <w:spacing w:after="0"/>
              <w:rPr>
                <w:b/>
              </w:rPr>
            </w:pPr>
          </w:p>
          <w:p w:rsidR="009E56BC" w:rsidRPr="009E56BC" w:rsidRDefault="009E56BC" w:rsidP="009E56BC">
            <w:pPr>
              <w:spacing w:after="0"/>
              <w:jc w:val="center"/>
              <w:rPr>
                <w:b/>
              </w:rPr>
            </w:pPr>
            <w:r w:rsidRPr="009E56BC">
              <w:rPr>
                <w:b/>
              </w:rPr>
              <w:t>TAB. 3- Consumo di benzina e gasolio dal 2009 al 2013</w:t>
            </w:r>
          </w:p>
          <w:p w:rsidR="009E56BC" w:rsidRPr="009E56BC" w:rsidRDefault="009E56BC" w:rsidP="009E56BC">
            <w:pPr>
              <w:spacing w:after="0"/>
              <w:jc w:val="center"/>
              <w:rPr>
                <w:b/>
              </w:rPr>
            </w:pPr>
            <w:r w:rsidRPr="009E56BC">
              <w:rPr>
                <w:b/>
              </w:rPr>
              <w:t>Fonte MISE. In tonnellate</w:t>
            </w:r>
          </w:p>
          <w:tbl>
            <w:tblPr>
              <w:tblStyle w:val="Grigliatabella"/>
              <w:tblW w:w="0" w:type="auto"/>
              <w:jc w:val="center"/>
              <w:shd w:val="clear" w:color="auto" w:fill="C2D69B" w:themeFill="accent3" w:themeFillTint="99"/>
              <w:tblLook w:val="04A0" w:firstRow="1" w:lastRow="0" w:firstColumn="1" w:lastColumn="0" w:noHBand="0" w:noVBand="1"/>
            </w:tblPr>
            <w:tblGrid>
              <w:gridCol w:w="3369"/>
              <w:gridCol w:w="1519"/>
              <w:gridCol w:w="1413"/>
              <w:gridCol w:w="2166"/>
            </w:tblGrid>
            <w:tr w:rsidR="009E56BC" w:rsidRPr="009E56BC" w:rsidTr="009E56BC">
              <w:trPr>
                <w:jc w:val="center"/>
              </w:trPr>
              <w:tc>
                <w:tcPr>
                  <w:tcW w:w="336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519" w:type="dxa"/>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 xml:space="preserve">2009 </w:t>
                  </w:r>
                </w:p>
              </w:tc>
              <w:tc>
                <w:tcPr>
                  <w:tcW w:w="1413" w:type="dxa"/>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2013</w:t>
                  </w:r>
                </w:p>
              </w:tc>
              <w:tc>
                <w:tcPr>
                  <w:tcW w:w="2166" w:type="dxa"/>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Variazione 2013/2009</w:t>
                  </w:r>
                </w:p>
              </w:tc>
            </w:tr>
            <w:tr w:rsidR="009E56BC" w:rsidRPr="009E56BC" w:rsidTr="009E56BC">
              <w:trPr>
                <w:jc w:val="center"/>
              </w:trPr>
              <w:tc>
                <w:tcPr>
                  <w:tcW w:w="336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Benzina</w:t>
                  </w:r>
                </w:p>
              </w:tc>
              <w:tc>
                <w:tcPr>
                  <w:tcW w:w="15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10.608.000</w:t>
                  </w:r>
                </w:p>
              </w:tc>
              <w:tc>
                <w:tcPr>
                  <w:tcW w:w="141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7.990.000</w:t>
                  </w:r>
                </w:p>
              </w:tc>
              <w:tc>
                <w:tcPr>
                  <w:tcW w:w="216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- 24,7 %</w:t>
                  </w:r>
                </w:p>
              </w:tc>
            </w:tr>
            <w:tr w:rsidR="009E56BC" w:rsidRPr="009E56BC" w:rsidTr="009E56BC">
              <w:trPr>
                <w:jc w:val="center"/>
              </w:trPr>
              <w:tc>
                <w:tcPr>
                  <w:tcW w:w="336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Gasolio per autotrazione</w:t>
                  </w:r>
                </w:p>
              </w:tc>
              <w:tc>
                <w:tcPr>
                  <w:tcW w:w="15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25.390.000</w:t>
                  </w:r>
                </w:p>
              </w:tc>
              <w:tc>
                <w:tcPr>
                  <w:tcW w:w="141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22.944.000</w:t>
                  </w:r>
                </w:p>
              </w:tc>
              <w:tc>
                <w:tcPr>
                  <w:tcW w:w="216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- 9,6 %</w:t>
                  </w:r>
                </w:p>
              </w:tc>
            </w:tr>
            <w:tr w:rsidR="009E56BC" w:rsidRPr="009E56BC" w:rsidTr="009E56BC">
              <w:trPr>
                <w:jc w:val="center"/>
              </w:trPr>
              <w:tc>
                <w:tcPr>
                  <w:tcW w:w="336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Gasolio da riscaldamento</w:t>
                  </w:r>
                </w:p>
              </w:tc>
              <w:tc>
                <w:tcPr>
                  <w:tcW w:w="15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1.959.000</w:t>
                  </w:r>
                </w:p>
              </w:tc>
              <w:tc>
                <w:tcPr>
                  <w:tcW w:w="141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1.370.000</w:t>
                  </w:r>
                </w:p>
              </w:tc>
              <w:tc>
                <w:tcPr>
                  <w:tcW w:w="216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- 30,1 %</w:t>
                  </w:r>
                </w:p>
              </w:tc>
            </w:tr>
          </w:tbl>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Procederemo quindi alla comparazione per 5 paesi europei (Francia, Germania, Gran Bretagna, Spagna e Italia) dei prezzi alla pompa (assoluti e tradotti in Capacità di spesa), del prezzo industriale e del livello di tassazione nel gennaio 2009 e nell’agosto 2014.</w:t>
            </w:r>
          </w:p>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pStyle w:val="Titolo3"/>
              <w:spacing w:after="0"/>
              <w:jc w:val="left"/>
              <w:rPr>
                <w:sz w:val="28"/>
              </w:rPr>
            </w:pPr>
            <w:bookmarkStart w:id="16" w:name="_Toc398128211"/>
            <w:bookmarkStart w:id="17" w:name="_Toc398203754"/>
            <w:bookmarkStart w:id="18" w:name="_Toc398278649"/>
            <w:r w:rsidRPr="009E56BC">
              <w:rPr>
                <w:sz w:val="28"/>
              </w:rPr>
              <w:t>4.1) BENZINA. Prezzi al consumo (assoluti e tradotti in PPS), prezzi industriali, tassazione.</w:t>
            </w:r>
            <w:bookmarkEnd w:id="16"/>
            <w:bookmarkEnd w:id="17"/>
            <w:bookmarkEnd w:id="18"/>
          </w:p>
          <w:p w:rsidR="009E56BC" w:rsidRPr="009E56BC" w:rsidRDefault="009E56BC" w:rsidP="009E56BC">
            <w:pPr>
              <w:pStyle w:val="Titolo3"/>
              <w:spacing w:after="0"/>
              <w:jc w:val="left"/>
              <w:rPr>
                <w:sz w:val="24"/>
              </w:rPr>
            </w:pPr>
          </w:p>
          <w:p w:rsidR="009E56BC" w:rsidRPr="009E56BC" w:rsidRDefault="009E56BC" w:rsidP="009E56BC">
            <w:pPr>
              <w:pStyle w:val="Titolo4"/>
              <w:spacing w:after="0"/>
            </w:pPr>
            <w:r w:rsidRPr="009E56BC">
              <w:rPr>
                <w:b w:val="0"/>
              </w:rPr>
              <w:t>4.1.1)</w:t>
            </w:r>
            <w:r w:rsidRPr="009E56BC">
              <w:t xml:space="preserve"> </w:t>
            </w:r>
            <w:r w:rsidRPr="009E56BC">
              <w:rPr>
                <w:b w:val="0"/>
              </w:rPr>
              <w:t xml:space="preserve">BENZINA. </w:t>
            </w:r>
            <w:r w:rsidRPr="009E56BC">
              <w:rPr>
                <w:rStyle w:val="Titolo4Carattere"/>
                <w:b/>
              </w:rPr>
              <w:t>PREZZO AL CONSUMO</w:t>
            </w:r>
          </w:p>
          <w:p w:rsidR="009E56BC" w:rsidRPr="009E56BC" w:rsidRDefault="009E56BC" w:rsidP="009E56BC">
            <w:pPr>
              <w:spacing w:after="0"/>
            </w:pPr>
          </w:p>
          <w:p w:rsid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TAB. 4- mostra che, ad agosto 2014, il prezzo alla pompa della benzina italiana è risultato il più alto rispetto a quello praticato dagli paesi presi in esame, con una crescita  del + 56,5 % rispetto al 2009. Peggio di noi hanno fatto Inghilterra (+ 67,9 %) e Spagna (+ 62,1 %). Ma molto più contenuti sono risultati gli aumenti di Francia e Germania, attorno ad un + 35 %.</w:t>
            </w:r>
          </w:p>
          <w:p w:rsidR="00AA6552" w:rsidRPr="009E56BC" w:rsidRDefault="00AA6552" w:rsidP="009E56BC">
            <w:pPr>
              <w:spacing w:after="0"/>
              <w:rPr>
                <w:rFonts w:cs="Times New Roman"/>
                <w:color w:val="17365D" w:themeColor="text2" w:themeShade="BF"/>
                <w:sz w:val="24"/>
                <w:szCs w:val="24"/>
              </w:rPr>
            </w:pPr>
          </w:p>
          <w:p w:rsidR="009E56BC" w:rsidRPr="009E56BC" w:rsidRDefault="009E56BC" w:rsidP="009E56BC">
            <w:pPr>
              <w:spacing w:after="0"/>
            </w:pPr>
          </w:p>
          <w:p w:rsidR="009E56BC" w:rsidRPr="009E56BC" w:rsidRDefault="009E56BC" w:rsidP="009E56BC">
            <w:pPr>
              <w:spacing w:after="0"/>
              <w:jc w:val="center"/>
              <w:rPr>
                <w:b/>
              </w:rPr>
            </w:pPr>
            <w:r w:rsidRPr="009E56BC">
              <w:rPr>
                <w:b/>
              </w:rPr>
              <w:t>TAB. 4- BENZINA s.p.  PREZZO ALLA POMPA</w:t>
            </w:r>
          </w:p>
          <w:p w:rsidR="009E56BC" w:rsidRPr="009E56BC" w:rsidRDefault="009E56BC" w:rsidP="009E56BC">
            <w:pPr>
              <w:spacing w:after="0"/>
              <w:jc w:val="center"/>
              <w:rPr>
                <w:b/>
              </w:rPr>
            </w:pPr>
            <w:r w:rsidRPr="009E56BC">
              <w:rPr>
                <w:b/>
              </w:rPr>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1,11287</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1,74116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+ 56,5 %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1,10430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1,49470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+ 35,5 %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1,15350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1,55700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+ 35,0 %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0,86771</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1,40689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+ 62,1 %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0,96046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1,61301</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+ 67,9 %</w:t>
                  </w:r>
                </w:p>
              </w:tc>
            </w:tr>
          </w:tbl>
          <w:p w:rsidR="009E56BC" w:rsidRPr="009E56BC" w:rsidRDefault="009E56BC" w:rsidP="009E56BC">
            <w:pPr>
              <w:spacing w:after="0"/>
            </w:pPr>
          </w:p>
          <w:p w:rsidR="009E56BC" w:rsidRPr="009E56BC" w:rsidRDefault="009E56BC" w:rsidP="009E56BC">
            <w:pPr>
              <w:spacing w:after="0"/>
            </w:pPr>
          </w:p>
          <w:p w:rsid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funzione del reddito pro</w:t>
            </w:r>
            <w:r w:rsidR="007243CF">
              <w:rPr>
                <w:rFonts w:cs="Times New Roman"/>
                <w:color w:val="17365D" w:themeColor="text2" w:themeShade="BF"/>
                <w:sz w:val="24"/>
                <w:szCs w:val="24"/>
              </w:rPr>
              <w:t xml:space="preserve"> </w:t>
            </w:r>
            <w:r w:rsidRPr="009E56BC">
              <w:rPr>
                <w:rFonts w:cs="Times New Roman"/>
                <w:color w:val="17365D" w:themeColor="text2" w:themeShade="BF"/>
                <w:sz w:val="24"/>
                <w:szCs w:val="24"/>
              </w:rPr>
              <w:t>capite tradotto in Capacità di spesa (PPS) – fatto pari a 100 quello italiano - abbiamo i seguenti risultati:</w:t>
            </w:r>
          </w:p>
          <w:p w:rsidR="00AA6552" w:rsidRPr="009E56BC" w:rsidRDefault="00AA6552" w:rsidP="009E56BC">
            <w:pPr>
              <w:spacing w:after="0"/>
              <w:rPr>
                <w:rFonts w:cs="Times New Roman"/>
                <w:color w:val="17365D" w:themeColor="text2" w:themeShade="BF"/>
                <w:sz w:val="24"/>
                <w:szCs w:val="24"/>
              </w:rPr>
            </w:pPr>
          </w:p>
          <w:p w:rsidR="009E56BC" w:rsidRPr="009E56BC" w:rsidRDefault="009E56BC" w:rsidP="009E56BC">
            <w:pPr>
              <w:spacing w:after="0"/>
            </w:pPr>
          </w:p>
          <w:tbl>
            <w:tblPr>
              <w:tblW w:w="9513" w:type="dxa"/>
              <w:jc w:val="center"/>
              <w:tblInd w:w="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1291"/>
              <w:gridCol w:w="1134"/>
              <w:gridCol w:w="1134"/>
              <w:gridCol w:w="2977"/>
              <w:gridCol w:w="2977"/>
            </w:tblGrid>
            <w:tr w:rsidR="009E56BC" w:rsidRPr="009E56BC" w:rsidTr="009E56BC">
              <w:trPr>
                <w:trHeight w:val="754"/>
                <w:jc w:val="center"/>
              </w:trPr>
              <w:tc>
                <w:tcPr>
                  <w:tcW w:w="1291" w:type="dxa"/>
                  <w:tcBorders>
                    <w:top w:val="single" w:sz="2" w:space="0" w:color="auto"/>
                    <w:left w:val="single" w:sz="2" w:space="0" w:color="auto"/>
                    <w:bottom w:val="single" w:sz="2" w:space="0" w:color="auto"/>
                    <w:right w:val="single" w:sz="2" w:space="0" w:color="auto"/>
                  </w:tcBorders>
                  <w:shd w:val="clear" w:color="auto" w:fill="C0C0C0"/>
                  <w:noWrap/>
                  <w:vAlign w:val="center"/>
                  <w:hideMark/>
                </w:tcPr>
                <w:p w:rsidR="009E56BC" w:rsidRPr="009E56BC" w:rsidRDefault="009E56BC" w:rsidP="009E56BC">
                  <w:pPr>
                    <w:spacing w:after="0"/>
                    <w:jc w:val="center"/>
                    <w:rPr>
                      <w:rFonts w:eastAsia="Times New Roman" w:cs="Lucida Sans Unicode"/>
                      <w:sz w:val="18"/>
                      <w:szCs w:val="18"/>
                    </w:rPr>
                  </w:pPr>
                  <w:r w:rsidRPr="009E56BC">
                    <w:rPr>
                      <w:rFonts w:eastAsia="Times New Roman" w:cs="Arial"/>
                      <w:b/>
                      <w:bCs/>
                      <w:sz w:val="18"/>
                      <w:szCs w:val="18"/>
                    </w:rPr>
                    <w:t>Paese</w:t>
                  </w:r>
                </w:p>
              </w:tc>
              <w:tc>
                <w:tcPr>
                  <w:tcW w:w="1134" w:type="dxa"/>
                  <w:tcBorders>
                    <w:top w:val="single" w:sz="2" w:space="0" w:color="auto"/>
                    <w:left w:val="single" w:sz="2" w:space="0" w:color="auto"/>
                    <w:bottom w:val="single" w:sz="2" w:space="0" w:color="auto"/>
                    <w:right w:val="single" w:sz="2" w:space="0" w:color="auto"/>
                  </w:tcBorders>
                  <w:shd w:val="clear" w:color="auto" w:fill="FFFF00"/>
                  <w:noWrap/>
                  <w:vAlign w:val="center"/>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Costo x1000 litri BENZINA</w:t>
                  </w:r>
                </w:p>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al 25-8-2014</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center"/>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 xml:space="preserve">PIL  pro capite 2013 tradotto in PPS </w:t>
                  </w:r>
                </w:p>
              </w:tc>
              <w:tc>
                <w:tcPr>
                  <w:tcW w:w="2977" w:type="dxa"/>
                  <w:tcBorders>
                    <w:top w:val="single" w:sz="2" w:space="0" w:color="auto"/>
                    <w:left w:val="single" w:sz="2" w:space="0" w:color="auto"/>
                    <w:bottom w:val="single" w:sz="2" w:space="0" w:color="auto"/>
                    <w:right w:val="single" w:sz="2" w:space="0" w:color="auto"/>
                  </w:tcBorders>
                  <w:shd w:val="clear" w:color="auto" w:fill="CCFFCC"/>
                  <w:noWrap/>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Per sopportare lo stesso peso economico sostenuto dal consumatore italiano, nel paese X il prodotto dovrebbe costare…</w:t>
                  </w:r>
                </w:p>
              </w:tc>
              <w:tc>
                <w:tcPr>
                  <w:tcW w:w="2977" w:type="dxa"/>
                  <w:tcBorders>
                    <w:top w:val="single" w:sz="2" w:space="0" w:color="auto"/>
                    <w:left w:val="single" w:sz="2" w:space="0" w:color="auto"/>
                    <w:bottom w:val="single" w:sz="2" w:space="0" w:color="auto"/>
                    <w:right w:val="single" w:sz="2" w:space="0" w:color="auto"/>
                  </w:tcBorders>
                  <w:shd w:val="clear" w:color="auto" w:fill="FFCC99"/>
                  <w:noWrap/>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Per sopportare lo stesso peso economico sostenuto dal consumatore del paese X, in Italia il prodotto dovrebbe costare…</w:t>
                  </w:r>
                </w:p>
              </w:tc>
            </w:tr>
            <w:tr w:rsidR="009E56BC" w:rsidRPr="009E56BC" w:rsidTr="009E56BC">
              <w:trPr>
                <w:trHeight w:val="264"/>
                <w:jc w:val="center"/>
              </w:trPr>
              <w:tc>
                <w:tcPr>
                  <w:tcW w:w="1291"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Francia</w:t>
                  </w:r>
                </w:p>
              </w:tc>
              <w:tc>
                <w:tcPr>
                  <w:tcW w:w="1134"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1494,7</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110,2</w:t>
                  </w:r>
                </w:p>
              </w:tc>
              <w:tc>
                <w:tcPr>
                  <w:tcW w:w="2977"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1918,75832</w:t>
                  </w:r>
                </w:p>
              </w:tc>
              <w:tc>
                <w:tcPr>
                  <w:tcW w:w="2977"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1356,35209</w:t>
                  </w:r>
                </w:p>
              </w:tc>
            </w:tr>
            <w:tr w:rsidR="009E56BC" w:rsidRPr="009E56BC" w:rsidTr="009E56BC">
              <w:trPr>
                <w:trHeight w:val="264"/>
                <w:jc w:val="center"/>
              </w:trPr>
              <w:tc>
                <w:tcPr>
                  <w:tcW w:w="1291"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Germania</w:t>
                  </w:r>
                </w:p>
              </w:tc>
              <w:tc>
                <w:tcPr>
                  <w:tcW w:w="1134"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1557</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126,5</w:t>
                  </w:r>
                </w:p>
              </w:tc>
              <w:tc>
                <w:tcPr>
                  <w:tcW w:w="2977"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2202,56740</w:t>
                  </w:r>
                </w:p>
              </w:tc>
              <w:tc>
                <w:tcPr>
                  <w:tcW w:w="2977"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1230,83004</w:t>
                  </w:r>
                </w:p>
              </w:tc>
            </w:tr>
            <w:tr w:rsidR="009E56BC" w:rsidRPr="009E56BC" w:rsidTr="009E56BC">
              <w:trPr>
                <w:trHeight w:val="264"/>
                <w:jc w:val="center"/>
              </w:trPr>
              <w:tc>
                <w:tcPr>
                  <w:tcW w:w="1291"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left"/>
                    <w:rPr>
                      <w:rFonts w:eastAsia="Times New Roman" w:cs="Lucida Sans Unicode"/>
                      <w:b/>
                      <w:color w:val="FFFF00"/>
                      <w:sz w:val="18"/>
                      <w:szCs w:val="18"/>
                    </w:rPr>
                  </w:pPr>
                  <w:r w:rsidRPr="009E56BC">
                    <w:rPr>
                      <w:rFonts w:eastAsia="Times New Roman" w:cs="Lucida Sans Unicode"/>
                      <w:b/>
                      <w:color w:val="FFFF00"/>
                      <w:sz w:val="18"/>
                      <w:szCs w:val="18"/>
                    </w:rPr>
                    <w:t>Italia</w:t>
                  </w:r>
                </w:p>
              </w:tc>
              <w:tc>
                <w:tcPr>
                  <w:tcW w:w="1134"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right"/>
                    <w:rPr>
                      <w:rFonts w:eastAsia="Times New Roman" w:cs="Lucida Sans Unicode"/>
                      <w:b/>
                      <w:bCs/>
                      <w:color w:val="FFFF00"/>
                      <w:sz w:val="18"/>
                      <w:szCs w:val="18"/>
                    </w:rPr>
                  </w:pPr>
                  <w:r w:rsidRPr="009E56BC">
                    <w:rPr>
                      <w:rFonts w:eastAsia="Times New Roman" w:cs="Lucida Sans Unicode"/>
                      <w:b/>
                      <w:bCs/>
                      <w:color w:val="FFFF00"/>
                      <w:sz w:val="18"/>
                      <w:szCs w:val="18"/>
                    </w:rPr>
                    <w:t>1741,16</w:t>
                  </w:r>
                </w:p>
              </w:tc>
              <w:tc>
                <w:tcPr>
                  <w:tcW w:w="1134"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right"/>
                    <w:rPr>
                      <w:rFonts w:eastAsia="Times New Roman" w:cs="Lucida Sans Unicode"/>
                      <w:b/>
                      <w:bCs/>
                      <w:color w:val="FFFF00"/>
                      <w:sz w:val="18"/>
                      <w:szCs w:val="18"/>
                    </w:rPr>
                  </w:pPr>
                  <w:r w:rsidRPr="009E56BC">
                    <w:rPr>
                      <w:rFonts w:eastAsia="Times New Roman" w:cs="Lucida Sans Unicode"/>
                      <w:b/>
                      <w:bCs/>
                      <w:color w:val="FFFF00"/>
                      <w:sz w:val="18"/>
                      <w:szCs w:val="18"/>
                    </w:rPr>
                    <w:t>100</w:t>
                  </w:r>
                </w:p>
              </w:tc>
              <w:tc>
                <w:tcPr>
                  <w:tcW w:w="2977"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b/>
                      <w:bCs/>
                      <w:sz w:val="18"/>
                      <w:szCs w:val="18"/>
                    </w:rPr>
                  </w:pPr>
                  <w:r w:rsidRPr="009E56BC">
                    <w:rPr>
                      <w:rFonts w:eastAsia="Times New Roman" w:cs="Lucida Sans Unicode"/>
                      <w:b/>
                      <w:bCs/>
                      <w:sz w:val="18"/>
                      <w:szCs w:val="18"/>
                    </w:rPr>
                    <w:t>////</w:t>
                  </w:r>
                </w:p>
              </w:tc>
              <w:tc>
                <w:tcPr>
                  <w:tcW w:w="2977"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b/>
                      <w:bCs/>
                      <w:sz w:val="18"/>
                      <w:szCs w:val="18"/>
                    </w:rPr>
                  </w:pPr>
                  <w:r w:rsidRPr="009E56BC">
                    <w:rPr>
                      <w:rFonts w:eastAsia="Times New Roman" w:cs="Lucida Sans Unicode"/>
                      <w:b/>
                      <w:bCs/>
                      <w:sz w:val="18"/>
                      <w:szCs w:val="18"/>
                    </w:rPr>
                    <w:t>/////</w:t>
                  </w:r>
                </w:p>
              </w:tc>
            </w:tr>
            <w:tr w:rsidR="009E56BC" w:rsidRPr="009E56BC" w:rsidTr="009E56BC">
              <w:trPr>
                <w:trHeight w:val="264"/>
                <w:jc w:val="center"/>
              </w:trPr>
              <w:tc>
                <w:tcPr>
                  <w:tcW w:w="1291"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Spagna</w:t>
                  </w:r>
                </w:p>
              </w:tc>
              <w:tc>
                <w:tcPr>
                  <w:tcW w:w="1134"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1406,89</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96,9</w:t>
                  </w:r>
                </w:p>
              </w:tc>
              <w:tc>
                <w:tcPr>
                  <w:tcW w:w="2977"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1687,18404</w:t>
                  </w:r>
                </w:p>
              </w:tc>
              <w:tc>
                <w:tcPr>
                  <w:tcW w:w="2977"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1451,89886</w:t>
                  </w:r>
                </w:p>
              </w:tc>
            </w:tr>
            <w:tr w:rsidR="009E56BC" w:rsidRPr="009E56BC" w:rsidTr="009E56BC">
              <w:trPr>
                <w:trHeight w:val="264"/>
                <w:jc w:val="center"/>
              </w:trPr>
              <w:tc>
                <w:tcPr>
                  <w:tcW w:w="1291"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Regno Unito</w:t>
                  </w:r>
                </w:p>
              </w:tc>
              <w:tc>
                <w:tcPr>
                  <w:tcW w:w="1134"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1631,01</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108,2</w:t>
                  </w:r>
                </w:p>
              </w:tc>
              <w:tc>
                <w:tcPr>
                  <w:tcW w:w="2977"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1883,93512</w:t>
                  </w:r>
                </w:p>
              </w:tc>
              <w:tc>
                <w:tcPr>
                  <w:tcW w:w="2977"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1507,40296</w:t>
                  </w:r>
                </w:p>
              </w:tc>
            </w:tr>
          </w:tbl>
          <w:p w:rsidR="009E56BC" w:rsidRDefault="009E56BC" w:rsidP="009E56BC">
            <w:pPr>
              <w:spacing w:after="0"/>
            </w:pPr>
          </w:p>
          <w:p w:rsidR="00AA6552" w:rsidRPr="009E56BC" w:rsidRDefault="00AA6552"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altri termini, per sopportare lo stesso peso economico sostenuto dal consumatore italiano (1,741 euro al litro) in Francia il prodotto dovrebbe costare 1,918 euro, in Germania 2.202 euro ecc. [colonna 4]</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colonna 5 mostra quanto il prodotto dovrebbe costare in Italia perché l’automobilista italiano sopporti lo stesso peso economico sostenuto dal consumatore del paese X: per sopportare il peso che sopporta il francese, in Italia la benzina dovrebbe costare1,356 euro ecc.</w:t>
            </w:r>
          </w:p>
          <w:p w:rsidR="009E56BC" w:rsidRDefault="009E56BC" w:rsidP="009E56BC">
            <w:pPr>
              <w:spacing w:after="0"/>
            </w:pPr>
          </w:p>
          <w:p w:rsidR="00AA6552" w:rsidRPr="009E56BC" w:rsidRDefault="00AA6552" w:rsidP="009E56BC">
            <w:pPr>
              <w:spacing w:after="0"/>
            </w:pPr>
          </w:p>
          <w:p w:rsidR="009E56BC" w:rsidRPr="009E56BC" w:rsidRDefault="009E56BC" w:rsidP="009E56BC">
            <w:pPr>
              <w:pStyle w:val="Titolo4"/>
              <w:spacing w:after="0"/>
            </w:pPr>
            <w:r w:rsidRPr="009E56BC">
              <w:rPr>
                <w:b w:val="0"/>
              </w:rPr>
              <w:t xml:space="preserve">4.1.2) BENZINA. </w:t>
            </w:r>
            <w:r w:rsidRPr="009E56BC">
              <w:t>PREZZO INDUSTRIALE</w:t>
            </w:r>
          </w:p>
          <w:p w:rsidR="009E56BC" w:rsidRPr="009E56BC" w:rsidRDefault="009E56BC" w:rsidP="009E56BC">
            <w:pPr>
              <w:pStyle w:val="Titolo4"/>
              <w:spacing w:after="0"/>
            </w:pPr>
          </w:p>
          <w:p w:rsid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Per quanto riguarda le variazioni del prezzo industriale, dal 2009 ad oggi quello della benzina italiana è cresciuto meno di quanto non sia stato negli altri paesi:  + 91,6 % in Italia e ben + 145,7 in Gran Bretagna.</w:t>
            </w:r>
          </w:p>
          <w:p w:rsidR="00AA6552" w:rsidRDefault="00AA6552" w:rsidP="009E56BC">
            <w:pPr>
              <w:spacing w:after="0"/>
              <w:rPr>
                <w:rFonts w:cs="Times New Roman"/>
                <w:color w:val="17365D" w:themeColor="text2" w:themeShade="BF"/>
                <w:sz w:val="24"/>
                <w:szCs w:val="24"/>
              </w:rPr>
            </w:pPr>
          </w:p>
          <w:p w:rsidR="00AA6552" w:rsidRDefault="00AA6552" w:rsidP="009E56BC">
            <w:pPr>
              <w:spacing w:after="0"/>
              <w:rPr>
                <w:rFonts w:cs="Times New Roman"/>
                <w:color w:val="17365D" w:themeColor="text2" w:themeShade="BF"/>
                <w:sz w:val="24"/>
                <w:szCs w:val="24"/>
              </w:rPr>
            </w:pPr>
          </w:p>
          <w:p w:rsidR="00AA6552" w:rsidRPr="009E56BC" w:rsidRDefault="00AA6552" w:rsidP="009E56BC">
            <w:pPr>
              <w:spacing w:after="0"/>
              <w:rPr>
                <w:rFonts w:cs="Times New Roman"/>
                <w:color w:val="17365D" w:themeColor="text2" w:themeShade="BF"/>
                <w:sz w:val="24"/>
                <w:szCs w:val="24"/>
              </w:rPr>
            </w:pPr>
          </w:p>
          <w:p w:rsidR="009E56BC" w:rsidRPr="009E56BC" w:rsidRDefault="009E56BC" w:rsidP="009E56BC">
            <w:pPr>
              <w:spacing w:after="0"/>
            </w:pPr>
          </w:p>
          <w:p w:rsidR="009E56BC" w:rsidRPr="009E56BC" w:rsidRDefault="009E56BC" w:rsidP="009E56BC">
            <w:pPr>
              <w:spacing w:after="0"/>
              <w:jc w:val="center"/>
              <w:rPr>
                <w:b/>
              </w:rPr>
            </w:pPr>
            <w:r w:rsidRPr="009E56BC">
              <w:rPr>
                <w:b/>
              </w:rPr>
              <w:t>TAB. 5-  BENZINA s.p.  PREZZO AL NETTO DELLE TASSE</w:t>
            </w:r>
          </w:p>
          <w:p w:rsidR="009E56BC" w:rsidRPr="009E56BC" w:rsidRDefault="009E56BC" w:rsidP="009E56BC">
            <w:pPr>
              <w:spacing w:after="0"/>
              <w:jc w:val="center"/>
              <w:rPr>
                <w:b/>
              </w:rPr>
            </w:pPr>
            <w:r w:rsidRPr="009E56BC">
              <w:rPr>
                <w:b/>
              </w:rPr>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0,36339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0,69638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+ 91,6 %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0,31723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0,63228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+ 99,3 %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0,31483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0,65390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+ 107,7 %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0,34055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0,69773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+ 104,9 %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0,25066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0,61586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+ 145,7 %</w:t>
                  </w:r>
                </w:p>
              </w:tc>
            </w:tr>
          </w:tbl>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pStyle w:val="Titolo4"/>
              <w:spacing w:after="0"/>
            </w:pPr>
            <w:r w:rsidRPr="009E56BC">
              <w:rPr>
                <w:b w:val="0"/>
              </w:rPr>
              <w:t xml:space="preserve">4.1.3) BENZINA. </w:t>
            </w:r>
            <w:r w:rsidRPr="009E56BC">
              <w:t>TASSAZIONE</w:t>
            </w: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L’andamento del costo industriale nei 5 anni dimostra che in Italia è particolarmente pesante l’imposizione fiscale che grava sul prezzo alla pompa. Perché infatti ad agosto 2014, il ns. prezzo al consumo risulti più alto che negli altri paesi occorre che la tassazione nostrana sopravanzi quella degli altri. E in effetti, con 1,04478 euro la nostra attuale fiscalità sopravanza quella degli altri paesi. Il dato è fornito dalla tabella successiva.</w:t>
            </w:r>
          </w:p>
          <w:p w:rsidR="009E56BC" w:rsidRPr="009E56BC" w:rsidRDefault="009E56BC" w:rsidP="009E56BC">
            <w:pPr>
              <w:spacing w:after="0"/>
            </w:pPr>
          </w:p>
          <w:p w:rsidR="009E56BC" w:rsidRPr="009E56BC" w:rsidRDefault="009E56BC" w:rsidP="009E56BC">
            <w:pPr>
              <w:spacing w:after="0"/>
              <w:jc w:val="center"/>
              <w:rPr>
                <w:b/>
              </w:rPr>
            </w:pPr>
            <w:r w:rsidRPr="009E56BC">
              <w:rPr>
                <w:b/>
              </w:rPr>
              <w:t>TAB. 6-  BENZINA s.p.  TASSAZIONE</w:t>
            </w:r>
          </w:p>
          <w:p w:rsidR="009E56BC" w:rsidRPr="009E56BC" w:rsidRDefault="009E56BC" w:rsidP="009E56BC">
            <w:pPr>
              <w:spacing w:after="0"/>
              <w:jc w:val="center"/>
              <w:rPr>
                <w:b/>
              </w:rPr>
            </w:pPr>
            <w:r w:rsidRPr="009E56BC">
              <w:rPr>
                <w:b/>
              </w:rPr>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0, 74948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1,04478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+ 39,4 %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0,78707</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0,86242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+ 9,6 %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0,83867</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0,90310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+ 7,7 %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0,52716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0,70916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+ 34,5 %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0,70980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0,99715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+ 40,5 %</w:t>
                  </w:r>
                </w:p>
              </w:tc>
            </w:tr>
          </w:tbl>
          <w:p w:rsidR="009E56BC" w:rsidRPr="009E56BC" w:rsidRDefault="009E56BC" w:rsidP="009E56BC">
            <w:pPr>
              <w:spacing w:after="0"/>
            </w:pPr>
          </w:p>
          <w:p w:rsidR="009E56BC" w:rsidRPr="009E56BC" w:rsidRDefault="00A13E9B" w:rsidP="009E56BC">
            <w:pPr>
              <w:spacing w:after="0"/>
              <w:jc w:val="center"/>
            </w:pPr>
            <w:r>
              <w:pict w14:anchorId="0597C286">
                <v:rect id="_x0000_i1026" style="width:669.6pt;height:1.8pt" o:hralign="center" o:hrstd="t" o:hr="t" fillcolor="#a0a0a0" stroked="f"/>
              </w:pict>
            </w:r>
          </w:p>
          <w:p w:rsidR="009E56BC" w:rsidRPr="009E56BC" w:rsidRDefault="009E56BC" w:rsidP="009E56BC">
            <w:pPr>
              <w:spacing w:after="0"/>
            </w:pPr>
          </w:p>
          <w:p w:rsidR="009E56BC" w:rsidRPr="009E56BC" w:rsidRDefault="009E56BC" w:rsidP="009E56BC">
            <w:pPr>
              <w:pStyle w:val="Titolo3"/>
              <w:spacing w:after="0"/>
              <w:jc w:val="left"/>
              <w:rPr>
                <w:sz w:val="28"/>
              </w:rPr>
            </w:pPr>
            <w:bookmarkStart w:id="19" w:name="_Toc398128212"/>
            <w:bookmarkStart w:id="20" w:name="_Toc398203755"/>
            <w:bookmarkStart w:id="21" w:name="_Toc398278650"/>
            <w:r w:rsidRPr="009E56BC">
              <w:rPr>
                <w:sz w:val="28"/>
              </w:rPr>
              <w:t>4.2) GASOLIO PER AUTOTRAZIONE. Prezzi al consumo (assoluti e tradotti in PPS), prezzi industriali, tassazione.</w:t>
            </w:r>
            <w:bookmarkEnd w:id="19"/>
            <w:bookmarkEnd w:id="20"/>
            <w:bookmarkEnd w:id="21"/>
          </w:p>
          <w:p w:rsidR="009E56BC" w:rsidRPr="009E56BC" w:rsidRDefault="009E56BC" w:rsidP="009E56BC">
            <w:pPr>
              <w:pStyle w:val="Titolo3"/>
              <w:spacing w:after="0"/>
              <w:jc w:val="left"/>
              <w:rPr>
                <w:sz w:val="28"/>
              </w:rPr>
            </w:pPr>
          </w:p>
          <w:p w:rsidR="009E56BC" w:rsidRPr="009E56BC" w:rsidRDefault="009E56BC" w:rsidP="009E56BC">
            <w:pPr>
              <w:pStyle w:val="Titolo4"/>
              <w:spacing w:after="0"/>
              <w:rPr>
                <w:b w:val="0"/>
                <w:sz w:val="24"/>
              </w:rPr>
            </w:pPr>
            <w:r w:rsidRPr="009E56BC">
              <w:rPr>
                <w:b w:val="0"/>
              </w:rPr>
              <w:t xml:space="preserve">4.2.1) GASOLIO PER AUTOTRAZIONE. </w:t>
            </w:r>
            <w:r w:rsidRPr="009E56BC">
              <w:t>PREZZO AL CONSUMO.</w:t>
            </w: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TAB. 7- mostra che, ad agosto 2014, il prezzo alla pompa del nostro gasolio per autotrazione (1,61822 euro)  è risultato – dopo quello inglese (1,67358 euro)-  il più alto rispetto a quello praticato dai paesi presi in esame, con una crescita  del + 53,8 % rispetto al 2009, superiore, nei 5 anni, a quella degli altri paesi. Anche per il prezzo del gasolio, molto più contenuti sono risultati gli aumenti di Francia e Germania, attorno ad un + 25 / 30 %.</w:t>
            </w:r>
          </w:p>
          <w:p w:rsidR="009E56BC" w:rsidRPr="009E56BC" w:rsidRDefault="009E56BC" w:rsidP="009E56BC">
            <w:pPr>
              <w:spacing w:after="0"/>
            </w:pPr>
          </w:p>
          <w:p w:rsidR="009E56BC" w:rsidRPr="009E56BC" w:rsidRDefault="009E56BC" w:rsidP="009E56BC">
            <w:pPr>
              <w:spacing w:after="0"/>
              <w:jc w:val="center"/>
            </w:pPr>
            <w:r w:rsidRPr="009E56BC">
              <w:t>TAB. 7-  GASOLIO PER AUTOTRAZIONE. PREZZO ALLA POMPA</w:t>
            </w:r>
          </w:p>
          <w:p w:rsidR="009E56BC" w:rsidRPr="009E56BC" w:rsidRDefault="009E56BC" w:rsidP="009E56BC">
            <w:pPr>
              <w:spacing w:after="0"/>
              <w:jc w:val="center"/>
            </w:pPr>
            <w:r w:rsidRPr="009E56BC">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1,05218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1,61822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+ 53,8 %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1,00170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1,29660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+ 29,4 %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1,08300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1,36000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+ 25,6 %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0,87781</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1,31909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+ 50,3 %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color w:val="FF0000"/>
                      <w:lang w:eastAsia="en-US"/>
                    </w:rPr>
                  </w:pPr>
                  <w:r w:rsidRPr="009E56BC">
                    <w:rPr>
                      <w:rFonts w:ascii="Century Gothic" w:hAnsi="Century Gothic"/>
                      <w:color w:val="FF0000"/>
                    </w:rPr>
                    <w:t>1,09777</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color w:val="FF0000"/>
                      <w:lang w:eastAsia="en-US"/>
                    </w:rPr>
                  </w:pPr>
                  <w:r w:rsidRPr="009E56BC">
                    <w:rPr>
                      <w:rFonts w:ascii="Century Gothic" w:hAnsi="Century Gothic"/>
                      <w:color w:val="FF0000"/>
                    </w:rPr>
                    <w:t>1,67358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+ 52,5 %</w:t>
                  </w:r>
                </w:p>
              </w:tc>
            </w:tr>
          </w:tbl>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funzione del reddito procapite tradotto in Capacità di spesa (PPS) – fatto pari a 100 quello italiano - abbiamo i seguenti risultati:</w:t>
            </w:r>
          </w:p>
          <w:p w:rsidR="009E56BC" w:rsidRPr="009E56BC" w:rsidRDefault="009E56BC" w:rsidP="009E56BC">
            <w:pPr>
              <w:spacing w:after="0"/>
            </w:pPr>
          </w:p>
          <w:p w:rsidR="009E56BC" w:rsidRPr="009E56BC" w:rsidRDefault="009E56BC" w:rsidP="009E56BC">
            <w:pPr>
              <w:spacing w:after="0"/>
            </w:pPr>
          </w:p>
          <w:tbl>
            <w:tblPr>
              <w:tblW w:w="97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1274"/>
              <w:gridCol w:w="1485"/>
              <w:gridCol w:w="1131"/>
              <w:gridCol w:w="2934"/>
              <w:gridCol w:w="2934"/>
            </w:tblGrid>
            <w:tr w:rsidR="009E56BC" w:rsidRPr="009E56BC" w:rsidTr="009E56BC">
              <w:trPr>
                <w:trHeight w:val="270"/>
                <w:jc w:val="center"/>
              </w:trPr>
              <w:tc>
                <w:tcPr>
                  <w:tcW w:w="1277" w:type="dxa"/>
                  <w:tcBorders>
                    <w:top w:val="single" w:sz="2" w:space="0" w:color="auto"/>
                    <w:left w:val="single" w:sz="2" w:space="0" w:color="auto"/>
                    <w:bottom w:val="single" w:sz="2" w:space="0" w:color="auto"/>
                    <w:right w:val="single" w:sz="2" w:space="0" w:color="auto"/>
                  </w:tcBorders>
                  <w:shd w:val="clear" w:color="auto" w:fill="C0C0C0"/>
                  <w:noWrap/>
                  <w:vAlign w:val="bottom"/>
                  <w:hideMark/>
                </w:tcPr>
                <w:p w:rsidR="009E56BC" w:rsidRPr="009E56BC" w:rsidRDefault="009E56BC" w:rsidP="009E56BC">
                  <w:pPr>
                    <w:spacing w:after="0"/>
                    <w:jc w:val="center"/>
                    <w:rPr>
                      <w:rFonts w:eastAsia="Times New Roman" w:cs="Arial"/>
                      <w:b/>
                      <w:bCs/>
                      <w:sz w:val="18"/>
                      <w:szCs w:val="20"/>
                    </w:rPr>
                  </w:pPr>
                  <w:r w:rsidRPr="009E56BC">
                    <w:rPr>
                      <w:rFonts w:eastAsia="Times New Roman" w:cs="Arial"/>
                      <w:b/>
                      <w:bCs/>
                      <w:sz w:val="18"/>
                      <w:szCs w:val="20"/>
                    </w:rPr>
                    <w:t>  Paese</w:t>
                  </w:r>
                </w:p>
              </w:tc>
              <w:tc>
                <w:tcPr>
                  <w:tcW w:w="1489" w:type="dxa"/>
                  <w:tcBorders>
                    <w:top w:val="single" w:sz="2" w:space="0" w:color="auto"/>
                    <w:left w:val="single" w:sz="2" w:space="0" w:color="auto"/>
                    <w:bottom w:val="single" w:sz="2" w:space="0" w:color="auto"/>
                    <w:right w:val="single" w:sz="2" w:space="0" w:color="auto"/>
                  </w:tcBorders>
                  <w:shd w:val="clear" w:color="auto" w:fill="FFFF00"/>
                  <w:noWrap/>
                  <w:hideMark/>
                </w:tcPr>
                <w:p w:rsidR="009E56BC" w:rsidRPr="009E56BC" w:rsidRDefault="009E56BC" w:rsidP="009E56BC">
                  <w:pPr>
                    <w:spacing w:after="0"/>
                    <w:jc w:val="center"/>
                    <w:rPr>
                      <w:rFonts w:eastAsia="Times New Roman" w:cs="Arial"/>
                      <w:b/>
                      <w:bCs/>
                      <w:sz w:val="18"/>
                      <w:szCs w:val="20"/>
                    </w:rPr>
                  </w:pPr>
                  <w:r w:rsidRPr="009E56BC">
                    <w:rPr>
                      <w:rFonts w:eastAsia="Times New Roman" w:cs="Arial"/>
                      <w:b/>
                      <w:bCs/>
                      <w:sz w:val="18"/>
                      <w:szCs w:val="20"/>
                    </w:rPr>
                    <w:t xml:space="preserve">Costo x1000 litri di GASOLIO </w:t>
                  </w:r>
                </w:p>
                <w:p w:rsidR="009E56BC" w:rsidRPr="009E56BC" w:rsidRDefault="009E56BC" w:rsidP="009E56BC">
                  <w:pPr>
                    <w:spacing w:after="0"/>
                    <w:jc w:val="center"/>
                    <w:rPr>
                      <w:rFonts w:eastAsia="Times New Roman" w:cs="Arial"/>
                      <w:b/>
                      <w:bCs/>
                      <w:sz w:val="18"/>
                      <w:szCs w:val="20"/>
                    </w:rPr>
                  </w:pPr>
                  <w:r w:rsidRPr="009E56BC">
                    <w:rPr>
                      <w:rFonts w:eastAsia="Times New Roman" w:cs="Arial"/>
                      <w:b/>
                      <w:bCs/>
                      <w:sz w:val="18"/>
                      <w:szCs w:val="20"/>
                    </w:rPr>
                    <w:t>al 25-8-2014</w:t>
                  </w:r>
                </w:p>
              </w:tc>
              <w:tc>
                <w:tcPr>
                  <w:tcW w:w="1134" w:type="dxa"/>
                  <w:tcBorders>
                    <w:top w:val="single" w:sz="2" w:space="0" w:color="auto"/>
                    <w:left w:val="single" w:sz="2" w:space="0" w:color="auto"/>
                    <w:bottom w:val="single" w:sz="2" w:space="0" w:color="auto"/>
                    <w:right w:val="single" w:sz="2" w:space="0" w:color="auto"/>
                  </w:tcBorders>
                  <w:shd w:val="clear" w:color="auto" w:fill="99CCFF"/>
                  <w:noWrap/>
                  <w:hideMark/>
                </w:tcPr>
                <w:p w:rsidR="009E56BC" w:rsidRPr="009E56BC" w:rsidRDefault="009E56BC" w:rsidP="009E56BC">
                  <w:pPr>
                    <w:spacing w:after="0"/>
                    <w:jc w:val="center"/>
                    <w:rPr>
                      <w:rFonts w:eastAsia="Times New Roman" w:cs="Arial"/>
                      <w:b/>
                      <w:bCs/>
                      <w:sz w:val="18"/>
                      <w:szCs w:val="20"/>
                    </w:rPr>
                  </w:pPr>
                  <w:r w:rsidRPr="009E56BC">
                    <w:rPr>
                      <w:rFonts w:eastAsia="Times New Roman" w:cs="Arial"/>
                      <w:b/>
                      <w:bCs/>
                      <w:sz w:val="18"/>
                      <w:szCs w:val="18"/>
                    </w:rPr>
                    <w:t>PIL  pro capite 2013 tradotto in PPS</w:t>
                  </w:r>
                </w:p>
              </w:tc>
              <w:tc>
                <w:tcPr>
                  <w:tcW w:w="2941"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center"/>
                    <w:rPr>
                      <w:rFonts w:eastAsia="Times New Roman" w:cs="Arial"/>
                      <w:b/>
                      <w:bCs/>
                      <w:sz w:val="18"/>
                      <w:szCs w:val="20"/>
                    </w:rPr>
                  </w:pPr>
                  <w:r w:rsidRPr="009E56BC">
                    <w:rPr>
                      <w:rFonts w:eastAsia="Times New Roman" w:cs="Arial"/>
                      <w:b/>
                      <w:bCs/>
                      <w:sz w:val="18"/>
                      <w:szCs w:val="20"/>
                    </w:rPr>
                    <w:t>Per sopportare lo stesso peso economico sostenuto dal consumatore italiano, nel paese X il prodotto dovrebbe costare…</w:t>
                  </w:r>
                </w:p>
              </w:tc>
              <w:tc>
                <w:tcPr>
                  <w:tcW w:w="2941"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center"/>
                    <w:rPr>
                      <w:rFonts w:eastAsia="Times New Roman" w:cs="Arial"/>
                      <w:b/>
                      <w:bCs/>
                      <w:sz w:val="18"/>
                      <w:szCs w:val="20"/>
                    </w:rPr>
                  </w:pPr>
                  <w:r w:rsidRPr="009E56BC">
                    <w:rPr>
                      <w:rFonts w:eastAsia="Times New Roman" w:cs="Arial"/>
                      <w:b/>
                      <w:bCs/>
                      <w:sz w:val="18"/>
                      <w:szCs w:val="20"/>
                    </w:rPr>
                    <w:t>Per sopportare lo stesso peso economico sostenuto dal consumatore del paese X, in Italia il prodotto dovrebbe costare…</w:t>
                  </w:r>
                </w:p>
              </w:tc>
            </w:tr>
            <w:tr w:rsidR="009E56BC" w:rsidRPr="009E56BC" w:rsidTr="009E56BC">
              <w:trPr>
                <w:trHeight w:val="264"/>
                <w:jc w:val="center"/>
              </w:trPr>
              <w:tc>
                <w:tcPr>
                  <w:tcW w:w="1277"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Francia</w:t>
                  </w:r>
                </w:p>
              </w:tc>
              <w:tc>
                <w:tcPr>
                  <w:tcW w:w="1489"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1296,6</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110,2</w:t>
                  </w:r>
                </w:p>
              </w:tc>
              <w:tc>
                <w:tcPr>
                  <w:tcW w:w="2941"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1783,27844</w:t>
                  </w:r>
                </w:p>
              </w:tc>
              <w:tc>
                <w:tcPr>
                  <w:tcW w:w="2941"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1176,58802</w:t>
                  </w:r>
                </w:p>
              </w:tc>
            </w:tr>
            <w:tr w:rsidR="009E56BC" w:rsidRPr="009E56BC" w:rsidTr="009E56BC">
              <w:trPr>
                <w:trHeight w:val="264"/>
                <w:jc w:val="center"/>
              </w:trPr>
              <w:tc>
                <w:tcPr>
                  <w:tcW w:w="1277"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Germania</w:t>
                  </w:r>
                </w:p>
              </w:tc>
              <w:tc>
                <w:tcPr>
                  <w:tcW w:w="1489"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1360</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126,5</w:t>
                  </w:r>
                </w:p>
              </w:tc>
              <w:tc>
                <w:tcPr>
                  <w:tcW w:w="2941"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2047,04830</w:t>
                  </w:r>
                </w:p>
              </w:tc>
              <w:tc>
                <w:tcPr>
                  <w:tcW w:w="2941"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1075,09881</w:t>
                  </w:r>
                </w:p>
              </w:tc>
            </w:tr>
            <w:tr w:rsidR="009E56BC" w:rsidRPr="009E56BC" w:rsidTr="009E56BC">
              <w:trPr>
                <w:trHeight w:val="264"/>
                <w:jc w:val="center"/>
              </w:trPr>
              <w:tc>
                <w:tcPr>
                  <w:tcW w:w="1277"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left"/>
                    <w:rPr>
                      <w:rFonts w:eastAsia="Times New Roman" w:cs="Lucida Sans Unicode"/>
                      <w:b/>
                      <w:color w:val="FFFF00"/>
                      <w:sz w:val="18"/>
                      <w:szCs w:val="18"/>
                    </w:rPr>
                  </w:pPr>
                  <w:r w:rsidRPr="009E56BC">
                    <w:rPr>
                      <w:rFonts w:eastAsia="Times New Roman" w:cs="Lucida Sans Unicode"/>
                      <w:b/>
                      <w:color w:val="FFFF00"/>
                      <w:sz w:val="18"/>
                      <w:szCs w:val="18"/>
                    </w:rPr>
                    <w:t>Italia</w:t>
                  </w:r>
                </w:p>
              </w:tc>
              <w:tc>
                <w:tcPr>
                  <w:tcW w:w="1489"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right"/>
                    <w:rPr>
                      <w:rFonts w:eastAsia="Times New Roman" w:cs="Lucida Sans Unicode"/>
                      <w:b/>
                      <w:bCs/>
                      <w:color w:val="FFFF00"/>
                      <w:sz w:val="18"/>
                      <w:szCs w:val="20"/>
                    </w:rPr>
                  </w:pPr>
                  <w:r w:rsidRPr="009E56BC">
                    <w:rPr>
                      <w:rFonts w:eastAsia="Times New Roman" w:cs="Lucida Sans Unicode"/>
                      <w:b/>
                      <w:bCs/>
                      <w:color w:val="FFFF00"/>
                      <w:sz w:val="18"/>
                      <w:szCs w:val="20"/>
                    </w:rPr>
                    <w:t>1618,22</w:t>
                  </w:r>
                </w:p>
              </w:tc>
              <w:tc>
                <w:tcPr>
                  <w:tcW w:w="1134"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right"/>
                    <w:rPr>
                      <w:rFonts w:eastAsia="Times New Roman" w:cs="Lucida Sans Unicode"/>
                      <w:b/>
                      <w:bCs/>
                      <w:color w:val="FFFF00"/>
                      <w:sz w:val="18"/>
                      <w:szCs w:val="20"/>
                    </w:rPr>
                  </w:pPr>
                  <w:r w:rsidRPr="009E56BC">
                    <w:rPr>
                      <w:rFonts w:eastAsia="Times New Roman" w:cs="Lucida Sans Unicode"/>
                      <w:b/>
                      <w:bCs/>
                      <w:color w:val="FFFF00"/>
                      <w:sz w:val="18"/>
                      <w:szCs w:val="20"/>
                    </w:rPr>
                    <w:t>100</w:t>
                  </w:r>
                </w:p>
              </w:tc>
              <w:tc>
                <w:tcPr>
                  <w:tcW w:w="2941"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b/>
                      <w:bCs/>
                      <w:sz w:val="18"/>
                      <w:szCs w:val="20"/>
                    </w:rPr>
                  </w:pPr>
                  <w:r w:rsidRPr="009E56BC">
                    <w:rPr>
                      <w:rFonts w:eastAsia="Times New Roman" w:cs="Lucida Sans Unicode"/>
                      <w:b/>
                      <w:bCs/>
                      <w:sz w:val="18"/>
                      <w:szCs w:val="20"/>
                    </w:rPr>
                    <w:t>////</w:t>
                  </w:r>
                </w:p>
              </w:tc>
              <w:tc>
                <w:tcPr>
                  <w:tcW w:w="2941"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b/>
                      <w:bCs/>
                      <w:sz w:val="18"/>
                      <w:szCs w:val="20"/>
                    </w:rPr>
                  </w:pPr>
                  <w:r w:rsidRPr="009E56BC">
                    <w:rPr>
                      <w:rFonts w:eastAsia="Times New Roman" w:cs="Lucida Sans Unicode"/>
                      <w:b/>
                      <w:bCs/>
                      <w:sz w:val="18"/>
                      <w:szCs w:val="20"/>
                    </w:rPr>
                    <w:t>/////</w:t>
                  </w:r>
                </w:p>
              </w:tc>
            </w:tr>
            <w:tr w:rsidR="009E56BC" w:rsidRPr="009E56BC" w:rsidTr="009E56BC">
              <w:trPr>
                <w:trHeight w:val="264"/>
                <w:jc w:val="center"/>
              </w:trPr>
              <w:tc>
                <w:tcPr>
                  <w:tcW w:w="1277"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Spagna</w:t>
                  </w:r>
                </w:p>
              </w:tc>
              <w:tc>
                <w:tcPr>
                  <w:tcW w:w="1489"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1319,09</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96,9</w:t>
                  </w:r>
                </w:p>
              </w:tc>
              <w:tc>
                <w:tcPr>
                  <w:tcW w:w="2941"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1568,05518</w:t>
                  </w:r>
                </w:p>
              </w:tc>
              <w:tc>
                <w:tcPr>
                  <w:tcW w:w="2941"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1361,28999</w:t>
                  </w:r>
                </w:p>
              </w:tc>
            </w:tr>
            <w:tr w:rsidR="009E56BC" w:rsidRPr="009E56BC" w:rsidTr="009E56BC">
              <w:trPr>
                <w:trHeight w:val="264"/>
                <w:jc w:val="center"/>
              </w:trPr>
              <w:tc>
                <w:tcPr>
                  <w:tcW w:w="1277"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Regno Unito</w:t>
                  </w:r>
                </w:p>
              </w:tc>
              <w:tc>
                <w:tcPr>
                  <w:tcW w:w="1489"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1673,58</w:t>
                  </w:r>
                </w:p>
              </w:tc>
              <w:tc>
                <w:tcPr>
                  <w:tcW w:w="1134"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108,2</w:t>
                  </w:r>
                </w:p>
              </w:tc>
              <w:tc>
                <w:tcPr>
                  <w:tcW w:w="2941"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1750,91404</w:t>
                  </w:r>
                </w:p>
              </w:tc>
              <w:tc>
                <w:tcPr>
                  <w:tcW w:w="2941"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20"/>
                    </w:rPr>
                  </w:pPr>
                  <w:r w:rsidRPr="009E56BC">
                    <w:rPr>
                      <w:rFonts w:eastAsia="Times New Roman" w:cs="Lucida Sans Unicode"/>
                      <w:sz w:val="18"/>
                      <w:szCs w:val="20"/>
                    </w:rPr>
                    <w:t>1546,74677</w:t>
                  </w:r>
                </w:p>
              </w:tc>
            </w:tr>
          </w:tbl>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altri termini, per sopportare lo stesso peso economico sostenuto dal consumatore italiano (1,618 euro al litro) in Francia il prodotto dovrebbe costare 1,783 euro, in Germania 2.047 euro ecc. [colonna 4],</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colonna 5 mostra quanto il prodotto dovrebbe costare in Italia perché l’automobilista italiano sopporti lo stesso peso economico sostenuto dal consumatore del paese X: per sopportare lo stesso peso dei francesi, in Italia dovrebbe costare 1,176 ecc.</w:t>
            </w:r>
          </w:p>
          <w:p w:rsidR="009E56BC" w:rsidRPr="009E56BC" w:rsidRDefault="009E56BC" w:rsidP="009E56BC">
            <w:pPr>
              <w:spacing w:after="0"/>
            </w:pPr>
          </w:p>
          <w:p w:rsidR="009E56BC" w:rsidRPr="009E56BC" w:rsidRDefault="009E56BC" w:rsidP="009E56BC">
            <w:pPr>
              <w:pStyle w:val="Titolo4"/>
              <w:spacing w:after="0"/>
              <w:rPr>
                <w:b w:val="0"/>
              </w:rPr>
            </w:pPr>
            <w:r w:rsidRPr="009E56BC">
              <w:rPr>
                <w:b w:val="0"/>
              </w:rPr>
              <w:t xml:space="preserve">4.2.2) GASOLIO PER AUTOTRAZIONE. </w:t>
            </w:r>
            <w:r w:rsidRPr="009E56BC">
              <w:t>PREZZO INDUSTRIALE</w:t>
            </w:r>
            <w:r w:rsidRPr="009E56BC">
              <w:rPr>
                <w:b w:val="0"/>
              </w:rPr>
              <w:t xml:space="preserve"> </w:t>
            </w: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Dai dati forniti dalla Commissione euroopea, risulta che il prezzo industriale del gasolio italiano risulta, dopo quello spagnolo (0,719 euro) più alto (0,70661 euro) di  quello di Francia, Germania e Gran Bretagna. La sua crescita dal 2009 è del 55,7 %,  quella inglese dell’80,1 %, quella tedesca del 52,9.</w:t>
            </w:r>
          </w:p>
          <w:p w:rsidR="009E56BC" w:rsidRPr="009E56BC" w:rsidRDefault="009E56BC" w:rsidP="009E56BC">
            <w:pPr>
              <w:spacing w:after="0"/>
            </w:pPr>
          </w:p>
          <w:p w:rsidR="009E56BC" w:rsidRPr="00502E1D" w:rsidRDefault="009E56BC" w:rsidP="009E56BC">
            <w:pPr>
              <w:spacing w:after="0"/>
              <w:jc w:val="center"/>
              <w:rPr>
                <w:b/>
              </w:rPr>
            </w:pPr>
            <w:r w:rsidRPr="00502E1D">
              <w:rPr>
                <w:b/>
              </w:rPr>
              <w:t>TAB. 8-  GASOLIO PER AUTOTRAZIONE. PREZZO AL NETTO DELLE TASSE</w:t>
            </w:r>
          </w:p>
          <w:p w:rsidR="009E56BC" w:rsidRPr="00502E1D" w:rsidRDefault="009E56BC" w:rsidP="009E56BC">
            <w:pPr>
              <w:spacing w:after="0"/>
              <w:jc w:val="center"/>
              <w:rPr>
                <w:b/>
              </w:rPr>
            </w:pPr>
            <w:r w:rsidRPr="00502E1D">
              <w:rPr>
                <w:b/>
              </w:rPr>
              <w:t>Fonte: Commissione europea – Energy policy</w:t>
            </w:r>
          </w:p>
          <w:tbl>
            <w:tblPr>
              <w:tblStyle w:val="Grigliatabella"/>
              <w:tblW w:w="0" w:type="auto"/>
              <w:jc w:val="center"/>
              <w:shd w:val="clear" w:color="auto" w:fill="C2D69B" w:themeFill="accent3" w:themeFillTint="99"/>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0,45382</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0,70661</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+ 55,7 %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0,40964</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0,63960</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+ 56,1 %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0,43968</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0,67246</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+ 52,9 %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0,44537</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0,71918</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+ 61,5 %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0,37005</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0,66633</w:t>
                  </w:r>
                </w:p>
              </w:tc>
              <w:tc>
                <w:tcPr>
                  <w:tcW w:w="172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+ 80,1 %</w:t>
                  </w:r>
                </w:p>
              </w:tc>
            </w:tr>
          </w:tbl>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pStyle w:val="Titolo4"/>
              <w:spacing w:after="0"/>
            </w:pPr>
            <w:r w:rsidRPr="009E56BC">
              <w:rPr>
                <w:b w:val="0"/>
              </w:rPr>
              <w:t xml:space="preserve">4.2.3) GASOLIO PER AUTOTRAZIONE. </w:t>
            </w:r>
            <w:r w:rsidRPr="009E56BC">
              <w:t xml:space="preserve">TASSAZIONE </w:t>
            </w:r>
          </w:p>
          <w:p w:rsidR="009E56BC" w:rsidRPr="009E56BC" w:rsidRDefault="009E56BC" w:rsidP="009E56BC">
            <w:pPr>
              <w:pStyle w:val="Titolo4"/>
              <w:spacing w:after="0"/>
              <w:rPr>
                <w:b w:val="0"/>
              </w:rPr>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 xml:space="preserve">Per quanto riguarda la tassazione del gasolio per autotrazione, la ns. tassazione  (0,911161 euro) risulta inferiore solo a quella imposta in Gran Bretagna (1,00725 euro) [TAB. 9-]. </w:t>
            </w:r>
          </w:p>
          <w:p w:rsidR="009E56BC" w:rsidRPr="009E56BC" w:rsidRDefault="009E56BC" w:rsidP="009E56BC">
            <w:pPr>
              <w:spacing w:after="0"/>
            </w:pPr>
          </w:p>
          <w:p w:rsidR="009E56BC" w:rsidRPr="00502E1D" w:rsidRDefault="00502E1D" w:rsidP="009E56BC">
            <w:pPr>
              <w:spacing w:after="0"/>
              <w:jc w:val="center"/>
              <w:rPr>
                <w:b/>
              </w:rPr>
            </w:pPr>
            <w:r>
              <w:rPr>
                <w:b/>
              </w:rPr>
              <w:t xml:space="preserve"> </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0,59836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0,91161</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+ 52,4 %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0,59206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0,65700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+ 11,0 %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0,64332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0,68754</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xml:space="preserve"> + 6,9 %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0,43244</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0,59991</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+ 38,7 %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0,72772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1,00725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+ 38,4 %</w:t>
                  </w:r>
                </w:p>
              </w:tc>
            </w:tr>
          </w:tbl>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Di notevole entità la variazione della tassazione dal 2009: + 52,4 % contro il 38 di Spagna e Gran Bretagna, l’11 della Francia e il 7 della Germania.</w:t>
            </w:r>
          </w:p>
          <w:p w:rsidR="009E56BC" w:rsidRPr="009E56BC" w:rsidRDefault="009E56BC" w:rsidP="009E56BC">
            <w:pPr>
              <w:spacing w:after="0"/>
            </w:pPr>
          </w:p>
          <w:p w:rsidR="009E56BC" w:rsidRPr="009E56BC" w:rsidRDefault="00A13E9B" w:rsidP="009E56BC">
            <w:pPr>
              <w:spacing w:after="0"/>
              <w:jc w:val="center"/>
            </w:pPr>
            <w:r>
              <w:pict w14:anchorId="2A0E3A24">
                <v:rect id="_x0000_i1027" style="width:669.6pt;height:1.8pt" o:hralign="center" o:hrstd="t" o:hr="t" fillcolor="#a0a0a0" stroked="f"/>
              </w:pict>
            </w:r>
          </w:p>
          <w:p w:rsidR="009E56BC" w:rsidRPr="009E56BC" w:rsidRDefault="009E56BC" w:rsidP="009E56BC">
            <w:pPr>
              <w:spacing w:after="0"/>
            </w:pPr>
          </w:p>
          <w:p w:rsidR="009E56BC" w:rsidRPr="009E56BC" w:rsidRDefault="009E56BC" w:rsidP="009E56BC">
            <w:pPr>
              <w:pStyle w:val="Titolo3"/>
              <w:spacing w:after="0"/>
              <w:jc w:val="left"/>
              <w:rPr>
                <w:sz w:val="28"/>
              </w:rPr>
            </w:pPr>
            <w:bookmarkStart w:id="22" w:name="_Toc398128213"/>
            <w:bookmarkStart w:id="23" w:name="_Toc398203756"/>
            <w:bookmarkStart w:id="24" w:name="_Toc398278651"/>
            <w:r w:rsidRPr="009E56BC">
              <w:rPr>
                <w:sz w:val="28"/>
              </w:rPr>
              <w:t>4.3) GASOLIO DA RISCALDAMENTO. Prezzi al consumo (assoluti e tradotti in PPS),  prezzi industriali, tassazione.</w:t>
            </w:r>
            <w:bookmarkEnd w:id="22"/>
            <w:bookmarkEnd w:id="23"/>
            <w:bookmarkEnd w:id="24"/>
          </w:p>
          <w:p w:rsidR="009E56BC" w:rsidRPr="009E56BC" w:rsidRDefault="009E56BC" w:rsidP="009E56BC">
            <w:pPr>
              <w:spacing w:after="0"/>
            </w:pPr>
          </w:p>
          <w:p w:rsidR="009E56BC" w:rsidRPr="009E56BC" w:rsidRDefault="009E56BC" w:rsidP="009E56BC">
            <w:pPr>
              <w:pStyle w:val="Titolo4"/>
              <w:spacing w:after="0"/>
              <w:rPr>
                <w:b w:val="0"/>
              </w:rPr>
            </w:pPr>
            <w:r w:rsidRPr="009E56BC">
              <w:rPr>
                <w:b w:val="0"/>
              </w:rPr>
              <w:t xml:space="preserve">4.3.1) GASOLIO DA RISCALDAMENTO. </w:t>
            </w:r>
            <w:r w:rsidRPr="009E56BC">
              <w:t>PREZZO AL CONSUMO</w:t>
            </w: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TAB. 10- mostra che, ad agosto 2014, il prezzo per litro del nostro gasolio da riscaldamento risulta molto più alto rispetto a quello praticato dai paesi presi in esame, anche se con un inferiore trend di crescita nei 5 anni considerati. Il ns. prezzo di 1,39255 euro risulta quasi doppio di quello inglese (0,76282 euro) e di circa il 60 % superiore a quello di Francia, Germania e Spagna.</w:t>
            </w:r>
          </w:p>
          <w:p w:rsidR="009E56BC" w:rsidRPr="009E56BC" w:rsidRDefault="009E56BC" w:rsidP="009E56BC">
            <w:pPr>
              <w:pStyle w:val="Titolo4"/>
              <w:spacing w:after="0"/>
              <w:rPr>
                <w:rFonts w:cs="Times New Roman"/>
                <w:color w:val="17365D" w:themeColor="text2" w:themeShade="BF"/>
                <w:sz w:val="24"/>
              </w:rPr>
            </w:pPr>
          </w:p>
          <w:p w:rsidR="009E56BC" w:rsidRPr="009E56BC" w:rsidRDefault="009E56BC" w:rsidP="009E56BC">
            <w:pPr>
              <w:spacing w:after="0"/>
              <w:jc w:val="center"/>
              <w:rPr>
                <w:b/>
              </w:rPr>
            </w:pPr>
            <w:r w:rsidRPr="009E56BC">
              <w:rPr>
                <w:b/>
              </w:rPr>
              <w:t>TAB. 10-  GASOLIO DA RISCALDAMENTO. PREZZO</w:t>
            </w:r>
          </w:p>
          <w:p w:rsidR="009E56BC" w:rsidRPr="009E56BC" w:rsidRDefault="009E56BC" w:rsidP="009E56BC">
            <w:pPr>
              <w:spacing w:after="0"/>
              <w:jc w:val="center"/>
              <w:rPr>
                <w:b/>
              </w:rPr>
            </w:pPr>
            <w:r w:rsidRPr="009E56BC">
              <w:rPr>
                <w:b/>
              </w:rPr>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color w:val="FF0000"/>
                      <w:lang w:eastAsia="en-US"/>
                    </w:rPr>
                  </w:pPr>
                  <w:r w:rsidRPr="009E56BC">
                    <w:rPr>
                      <w:rFonts w:ascii="Century Gothic" w:hAnsi="Century Gothic"/>
                      <w:color w:val="FF0000"/>
                    </w:rPr>
                    <w:t>1,03156</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color w:val="FF0000"/>
                      <w:lang w:eastAsia="en-US"/>
                    </w:rPr>
                  </w:pPr>
                  <w:r w:rsidRPr="009E56BC">
                    <w:rPr>
                      <w:rFonts w:ascii="Century Gothic" w:hAnsi="Century Gothic"/>
                      <w:color w:val="FF0000"/>
                    </w:rPr>
                    <w:t>1,39255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+ 35,0 %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0,60120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0,86760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+ 44,3 %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0,59433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0,82330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+ 38,5 %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0,54672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0,87075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+ 59,3 %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0,47774</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0,76282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+ 59,7 %</w:t>
                  </w:r>
                </w:p>
              </w:tc>
            </w:tr>
          </w:tbl>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funzione del reddito pro</w:t>
            </w:r>
            <w:r w:rsidR="007B125E">
              <w:rPr>
                <w:rFonts w:cs="Times New Roman"/>
                <w:color w:val="17365D" w:themeColor="text2" w:themeShade="BF"/>
                <w:sz w:val="24"/>
                <w:szCs w:val="24"/>
              </w:rPr>
              <w:t xml:space="preserve"> </w:t>
            </w:r>
            <w:r w:rsidRPr="009E56BC">
              <w:rPr>
                <w:rFonts w:cs="Times New Roman"/>
                <w:color w:val="17365D" w:themeColor="text2" w:themeShade="BF"/>
                <w:sz w:val="24"/>
                <w:szCs w:val="24"/>
              </w:rPr>
              <w:t>capite tradotto in Capacità di spesa (PPS) – fatto pari a 100 quello italiano - abbiamo i seguenti risultati:</w:t>
            </w:r>
          </w:p>
          <w:p w:rsidR="009E56BC" w:rsidRPr="009E56BC" w:rsidRDefault="009E56BC" w:rsidP="009E56BC">
            <w:pPr>
              <w:spacing w:after="0"/>
            </w:pPr>
          </w:p>
          <w:tbl>
            <w:tblPr>
              <w:tblW w:w="9858" w:type="dxa"/>
              <w:jc w:val="center"/>
              <w:tblInd w:w="2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1188"/>
              <w:gridCol w:w="1758"/>
              <w:gridCol w:w="1153"/>
              <w:gridCol w:w="2692"/>
              <w:gridCol w:w="2692"/>
            </w:tblGrid>
            <w:tr w:rsidR="009E56BC" w:rsidRPr="009E56BC" w:rsidTr="009E56BC">
              <w:trPr>
                <w:trHeight w:val="270"/>
                <w:jc w:val="center"/>
              </w:trPr>
              <w:tc>
                <w:tcPr>
                  <w:tcW w:w="1276" w:type="dxa"/>
                  <w:tcBorders>
                    <w:top w:val="single" w:sz="2" w:space="0" w:color="auto"/>
                    <w:left w:val="single" w:sz="2" w:space="0" w:color="auto"/>
                    <w:bottom w:val="single" w:sz="2" w:space="0" w:color="auto"/>
                    <w:right w:val="single" w:sz="2" w:space="0" w:color="auto"/>
                  </w:tcBorders>
                  <w:shd w:val="clear" w:color="auto" w:fill="C0C0C0"/>
                  <w:noWrap/>
                  <w:vAlign w:val="bottom"/>
                  <w:hideMark/>
                </w:tcPr>
                <w:p w:rsidR="009E56BC" w:rsidRPr="009E56BC" w:rsidRDefault="009E56BC" w:rsidP="009E56BC">
                  <w:pPr>
                    <w:spacing w:after="0"/>
                    <w:jc w:val="center"/>
                    <w:rPr>
                      <w:rFonts w:eastAsia="Times New Roman" w:cs="Lucida Sans Unicode"/>
                      <w:sz w:val="18"/>
                      <w:szCs w:val="18"/>
                    </w:rPr>
                  </w:pPr>
                  <w:r w:rsidRPr="009E56BC">
                    <w:rPr>
                      <w:rFonts w:eastAsia="Times New Roman" w:cs="Arial"/>
                      <w:b/>
                      <w:bCs/>
                      <w:sz w:val="18"/>
                      <w:szCs w:val="18"/>
                    </w:rPr>
                    <w:t>Paese</w:t>
                  </w:r>
                </w:p>
              </w:tc>
              <w:tc>
                <w:tcPr>
                  <w:tcW w:w="1535"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Costo x1000 litri di GASOLIO DA RISCALDAMENTO25-8-2014</w:t>
                  </w:r>
                </w:p>
              </w:tc>
              <w:tc>
                <w:tcPr>
                  <w:tcW w:w="1237"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PIL  pro capite 2013 tradotto in PPS</w:t>
                  </w:r>
                </w:p>
              </w:tc>
              <w:tc>
                <w:tcPr>
                  <w:tcW w:w="2905" w:type="dxa"/>
                  <w:tcBorders>
                    <w:top w:val="single" w:sz="2" w:space="0" w:color="auto"/>
                    <w:left w:val="single" w:sz="2" w:space="0" w:color="auto"/>
                    <w:bottom w:val="single" w:sz="2" w:space="0" w:color="auto"/>
                    <w:right w:val="single" w:sz="2" w:space="0" w:color="auto"/>
                  </w:tcBorders>
                  <w:shd w:val="clear" w:color="auto" w:fill="CCFFCC"/>
                  <w:noWrap/>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Per sopportare lo stesso peso economico sostenuto dal consumatore italiano, nel paese X il prodotto dovrebbe costare…</w:t>
                  </w:r>
                </w:p>
              </w:tc>
              <w:tc>
                <w:tcPr>
                  <w:tcW w:w="2905" w:type="dxa"/>
                  <w:tcBorders>
                    <w:top w:val="single" w:sz="2" w:space="0" w:color="auto"/>
                    <w:left w:val="single" w:sz="2" w:space="0" w:color="auto"/>
                    <w:bottom w:val="single" w:sz="2" w:space="0" w:color="auto"/>
                    <w:right w:val="single" w:sz="2" w:space="0" w:color="auto"/>
                  </w:tcBorders>
                  <w:shd w:val="clear" w:color="auto" w:fill="FFCC99"/>
                  <w:noWrap/>
                  <w:hideMark/>
                </w:tcPr>
                <w:p w:rsidR="009E56BC" w:rsidRPr="009E56BC" w:rsidRDefault="009E56BC" w:rsidP="009E56BC">
                  <w:pPr>
                    <w:spacing w:after="0"/>
                    <w:jc w:val="center"/>
                    <w:rPr>
                      <w:rFonts w:eastAsia="Times New Roman" w:cs="Arial"/>
                      <w:b/>
                      <w:bCs/>
                      <w:sz w:val="18"/>
                      <w:szCs w:val="18"/>
                    </w:rPr>
                  </w:pPr>
                  <w:r w:rsidRPr="009E56BC">
                    <w:rPr>
                      <w:rFonts w:eastAsia="Times New Roman" w:cs="Arial"/>
                      <w:b/>
                      <w:bCs/>
                      <w:sz w:val="18"/>
                      <w:szCs w:val="18"/>
                    </w:rPr>
                    <w:t>Per sopportare lo stesso peso economico sostenuto dal consumatore del paese X, in Italia il prodotto dovrebbe costare…</w:t>
                  </w:r>
                </w:p>
              </w:tc>
            </w:tr>
            <w:tr w:rsidR="009E56BC" w:rsidRPr="009E56BC" w:rsidTr="009E56BC">
              <w:trPr>
                <w:trHeight w:val="264"/>
                <w:jc w:val="center"/>
              </w:trPr>
              <w:tc>
                <w:tcPr>
                  <w:tcW w:w="1276"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Francia</w:t>
                  </w:r>
                </w:p>
              </w:tc>
              <w:tc>
                <w:tcPr>
                  <w:tcW w:w="1535"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867</w:t>
                  </w:r>
                  <w:r w:rsidR="00B94D01">
                    <w:rPr>
                      <w:rFonts w:eastAsia="Times New Roman" w:cs="Lucida Sans Unicode"/>
                      <w:sz w:val="18"/>
                      <w:szCs w:val="18"/>
                    </w:rPr>
                    <w:t>,</w:t>
                  </w:r>
                  <w:r w:rsidRPr="009E56BC">
                    <w:rPr>
                      <w:rFonts w:eastAsia="Times New Roman" w:cs="Lucida Sans Unicode"/>
                      <w:sz w:val="18"/>
                      <w:szCs w:val="18"/>
                    </w:rPr>
                    <w:t>6</w:t>
                  </w:r>
                </w:p>
              </w:tc>
              <w:tc>
                <w:tcPr>
                  <w:tcW w:w="1237"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110,2</w:t>
                  </w:r>
                </w:p>
              </w:tc>
              <w:tc>
                <w:tcPr>
                  <w:tcW w:w="2905"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1534,59010</w:t>
                  </w:r>
                </w:p>
              </w:tc>
              <w:tc>
                <w:tcPr>
                  <w:tcW w:w="2905"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787</w:t>
                  </w:r>
                  <w:r w:rsidR="00B94D01">
                    <w:rPr>
                      <w:rFonts w:eastAsia="Times New Roman" w:cs="Lucida Sans Unicode"/>
                      <w:sz w:val="18"/>
                      <w:szCs w:val="18"/>
                    </w:rPr>
                    <w:t>,</w:t>
                  </w:r>
                  <w:r w:rsidRPr="009E56BC">
                    <w:rPr>
                      <w:rFonts w:eastAsia="Times New Roman" w:cs="Lucida Sans Unicode"/>
                      <w:sz w:val="18"/>
                      <w:szCs w:val="18"/>
                    </w:rPr>
                    <w:t>30</w:t>
                  </w:r>
                </w:p>
              </w:tc>
            </w:tr>
            <w:tr w:rsidR="009E56BC" w:rsidRPr="009E56BC" w:rsidTr="009E56BC">
              <w:trPr>
                <w:trHeight w:val="264"/>
                <w:jc w:val="center"/>
              </w:trPr>
              <w:tc>
                <w:tcPr>
                  <w:tcW w:w="1276"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Germania</w:t>
                  </w:r>
                </w:p>
              </w:tc>
              <w:tc>
                <w:tcPr>
                  <w:tcW w:w="1535"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823</w:t>
                  </w:r>
                  <w:r w:rsidR="00B94D01">
                    <w:rPr>
                      <w:rFonts w:eastAsia="Times New Roman" w:cs="Lucida Sans Unicode"/>
                      <w:sz w:val="18"/>
                      <w:szCs w:val="18"/>
                    </w:rPr>
                    <w:t>,</w:t>
                  </w:r>
                  <w:r w:rsidRPr="009E56BC">
                    <w:rPr>
                      <w:rFonts w:eastAsia="Times New Roman" w:cs="Lucida Sans Unicode"/>
                      <w:sz w:val="18"/>
                      <w:szCs w:val="18"/>
                    </w:rPr>
                    <w:t>3</w:t>
                  </w:r>
                </w:p>
              </w:tc>
              <w:tc>
                <w:tcPr>
                  <w:tcW w:w="1237"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126,5</w:t>
                  </w:r>
                </w:p>
              </w:tc>
              <w:tc>
                <w:tcPr>
                  <w:tcW w:w="2905"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1761,57575</w:t>
                  </w:r>
                </w:p>
              </w:tc>
              <w:tc>
                <w:tcPr>
                  <w:tcW w:w="2905"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650</w:t>
                  </w:r>
                  <w:r w:rsidR="00B94D01">
                    <w:rPr>
                      <w:rFonts w:eastAsia="Times New Roman" w:cs="Lucida Sans Unicode"/>
                      <w:sz w:val="18"/>
                      <w:szCs w:val="18"/>
                    </w:rPr>
                    <w:t>,</w:t>
                  </w:r>
                  <w:r w:rsidRPr="009E56BC">
                    <w:rPr>
                      <w:rFonts w:eastAsia="Times New Roman" w:cs="Lucida Sans Unicode"/>
                      <w:sz w:val="18"/>
                      <w:szCs w:val="18"/>
                    </w:rPr>
                    <w:t>83</w:t>
                  </w:r>
                </w:p>
              </w:tc>
            </w:tr>
            <w:tr w:rsidR="009E56BC" w:rsidRPr="009E56BC" w:rsidTr="009E56BC">
              <w:trPr>
                <w:trHeight w:val="264"/>
                <w:jc w:val="center"/>
              </w:trPr>
              <w:tc>
                <w:tcPr>
                  <w:tcW w:w="1276"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left"/>
                    <w:rPr>
                      <w:rFonts w:eastAsia="Times New Roman" w:cs="Lucida Sans Unicode"/>
                      <w:b/>
                      <w:color w:val="FFFF00"/>
                      <w:sz w:val="18"/>
                      <w:szCs w:val="18"/>
                    </w:rPr>
                  </w:pPr>
                  <w:r w:rsidRPr="009E56BC">
                    <w:rPr>
                      <w:rFonts w:eastAsia="Times New Roman" w:cs="Lucida Sans Unicode"/>
                      <w:b/>
                      <w:color w:val="FFFF00"/>
                      <w:sz w:val="18"/>
                      <w:szCs w:val="18"/>
                    </w:rPr>
                    <w:t>Italia</w:t>
                  </w:r>
                </w:p>
              </w:tc>
              <w:tc>
                <w:tcPr>
                  <w:tcW w:w="1535"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right"/>
                    <w:rPr>
                      <w:rFonts w:eastAsia="Times New Roman" w:cs="Lucida Sans Unicode"/>
                      <w:b/>
                      <w:bCs/>
                      <w:color w:val="FFFF00"/>
                      <w:sz w:val="18"/>
                      <w:szCs w:val="18"/>
                    </w:rPr>
                  </w:pPr>
                  <w:r w:rsidRPr="009E56BC">
                    <w:rPr>
                      <w:rFonts w:eastAsia="Times New Roman" w:cs="Lucida Sans Unicode"/>
                      <w:b/>
                      <w:bCs/>
                      <w:color w:val="FFFF00"/>
                      <w:sz w:val="18"/>
                      <w:szCs w:val="18"/>
                    </w:rPr>
                    <w:t>1392,55</w:t>
                  </w:r>
                </w:p>
              </w:tc>
              <w:tc>
                <w:tcPr>
                  <w:tcW w:w="1237" w:type="dxa"/>
                  <w:tcBorders>
                    <w:top w:val="single" w:sz="2" w:space="0" w:color="auto"/>
                    <w:left w:val="single" w:sz="2" w:space="0" w:color="auto"/>
                    <w:bottom w:val="single" w:sz="2" w:space="0" w:color="auto"/>
                    <w:right w:val="single" w:sz="2" w:space="0" w:color="auto"/>
                  </w:tcBorders>
                  <w:shd w:val="clear" w:color="auto" w:fill="339966"/>
                  <w:noWrap/>
                  <w:vAlign w:val="bottom"/>
                  <w:hideMark/>
                </w:tcPr>
                <w:p w:rsidR="009E56BC" w:rsidRPr="009E56BC" w:rsidRDefault="009E56BC" w:rsidP="009E56BC">
                  <w:pPr>
                    <w:spacing w:after="0"/>
                    <w:jc w:val="right"/>
                    <w:rPr>
                      <w:rFonts w:eastAsia="Times New Roman" w:cs="Lucida Sans Unicode"/>
                      <w:b/>
                      <w:bCs/>
                      <w:color w:val="FFFF00"/>
                      <w:sz w:val="18"/>
                      <w:szCs w:val="18"/>
                    </w:rPr>
                  </w:pPr>
                  <w:r w:rsidRPr="009E56BC">
                    <w:rPr>
                      <w:rFonts w:eastAsia="Times New Roman" w:cs="Lucida Sans Unicode"/>
                      <w:b/>
                      <w:bCs/>
                      <w:color w:val="FFFF00"/>
                      <w:sz w:val="18"/>
                      <w:szCs w:val="18"/>
                    </w:rPr>
                    <w:t>100</w:t>
                  </w:r>
                </w:p>
              </w:tc>
              <w:tc>
                <w:tcPr>
                  <w:tcW w:w="2905"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b/>
                      <w:bCs/>
                      <w:sz w:val="18"/>
                      <w:szCs w:val="18"/>
                    </w:rPr>
                  </w:pPr>
                  <w:r w:rsidRPr="009E56BC">
                    <w:rPr>
                      <w:rFonts w:eastAsia="Times New Roman" w:cs="Lucida Sans Unicode"/>
                      <w:b/>
                      <w:bCs/>
                      <w:sz w:val="18"/>
                      <w:szCs w:val="18"/>
                    </w:rPr>
                    <w:t>////</w:t>
                  </w:r>
                </w:p>
              </w:tc>
              <w:tc>
                <w:tcPr>
                  <w:tcW w:w="2905"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b/>
                      <w:bCs/>
                      <w:sz w:val="18"/>
                      <w:szCs w:val="18"/>
                    </w:rPr>
                  </w:pPr>
                  <w:r w:rsidRPr="009E56BC">
                    <w:rPr>
                      <w:rFonts w:eastAsia="Times New Roman" w:cs="Lucida Sans Unicode"/>
                      <w:b/>
                      <w:bCs/>
                      <w:sz w:val="18"/>
                      <w:szCs w:val="18"/>
                    </w:rPr>
                    <w:t>/////</w:t>
                  </w:r>
                </w:p>
              </w:tc>
            </w:tr>
            <w:tr w:rsidR="009E56BC" w:rsidRPr="009E56BC" w:rsidTr="009E56BC">
              <w:trPr>
                <w:trHeight w:val="264"/>
                <w:jc w:val="center"/>
              </w:trPr>
              <w:tc>
                <w:tcPr>
                  <w:tcW w:w="1276"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Spagna</w:t>
                  </w:r>
                </w:p>
              </w:tc>
              <w:tc>
                <w:tcPr>
                  <w:tcW w:w="1535"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870</w:t>
                  </w:r>
                  <w:r w:rsidR="00B94D01">
                    <w:rPr>
                      <w:rFonts w:eastAsia="Times New Roman" w:cs="Lucida Sans Unicode"/>
                      <w:sz w:val="18"/>
                      <w:szCs w:val="18"/>
                    </w:rPr>
                    <w:t>,</w:t>
                  </w:r>
                  <w:r w:rsidRPr="009E56BC">
                    <w:rPr>
                      <w:rFonts w:eastAsia="Times New Roman" w:cs="Lucida Sans Unicode"/>
                      <w:sz w:val="18"/>
                      <w:szCs w:val="18"/>
                    </w:rPr>
                    <w:t>75</w:t>
                  </w:r>
                </w:p>
              </w:tc>
              <w:tc>
                <w:tcPr>
                  <w:tcW w:w="1237"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96,9</w:t>
                  </w:r>
                </w:p>
              </w:tc>
              <w:tc>
                <w:tcPr>
                  <w:tcW w:w="2905"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1349,38095</w:t>
                  </w:r>
                </w:p>
              </w:tc>
              <w:tc>
                <w:tcPr>
                  <w:tcW w:w="2905"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898</w:t>
                  </w:r>
                  <w:r w:rsidR="00B94D01">
                    <w:rPr>
                      <w:rFonts w:eastAsia="Times New Roman" w:cs="Lucida Sans Unicode"/>
                      <w:sz w:val="18"/>
                      <w:szCs w:val="18"/>
                    </w:rPr>
                    <w:t>,</w:t>
                  </w:r>
                  <w:r w:rsidRPr="009E56BC">
                    <w:rPr>
                      <w:rFonts w:eastAsia="Times New Roman" w:cs="Lucida Sans Unicode"/>
                      <w:sz w:val="18"/>
                      <w:szCs w:val="18"/>
                    </w:rPr>
                    <w:t>61</w:t>
                  </w:r>
                </w:p>
              </w:tc>
            </w:tr>
            <w:tr w:rsidR="009E56BC" w:rsidRPr="009E56BC" w:rsidTr="009E56BC">
              <w:trPr>
                <w:trHeight w:val="264"/>
                <w:jc w:val="center"/>
              </w:trPr>
              <w:tc>
                <w:tcPr>
                  <w:tcW w:w="1276" w:type="dxa"/>
                  <w:tcBorders>
                    <w:top w:val="single" w:sz="2" w:space="0" w:color="auto"/>
                    <w:left w:val="single" w:sz="2" w:space="0" w:color="auto"/>
                    <w:bottom w:val="single" w:sz="2" w:space="0" w:color="auto"/>
                    <w:right w:val="single" w:sz="2" w:space="0" w:color="auto"/>
                  </w:tcBorders>
                  <w:noWrap/>
                  <w:vAlign w:val="bottom"/>
                  <w:hideMark/>
                </w:tcPr>
                <w:p w:rsidR="009E56BC" w:rsidRPr="009E56BC" w:rsidRDefault="009E56BC" w:rsidP="009E56BC">
                  <w:pPr>
                    <w:spacing w:after="0"/>
                    <w:jc w:val="left"/>
                    <w:rPr>
                      <w:rFonts w:eastAsia="Times New Roman" w:cs="Lucida Sans Unicode"/>
                      <w:b/>
                      <w:sz w:val="18"/>
                      <w:szCs w:val="18"/>
                    </w:rPr>
                  </w:pPr>
                  <w:r w:rsidRPr="009E56BC">
                    <w:rPr>
                      <w:rFonts w:eastAsia="Times New Roman" w:cs="Lucida Sans Unicode"/>
                      <w:b/>
                      <w:sz w:val="18"/>
                      <w:szCs w:val="18"/>
                    </w:rPr>
                    <w:t>Regno Unito</w:t>
                  </w:r>
                </w:p>
              </w:tc>
              <w:tc>
                <w:tcPr>
                  <w:tcW w:w="1535" w:type="dxa"/>
                  <w:tcBorders>
                    <w:top w:val="single" w:sz="2" w:space="0" w:color="auto"/>
                    <w:left w:val="single" w:sz="2" w:space="0" w:color="auto"/>
                    <w:bottom w:val="single" w:sz="2" w:space="0" w:color="auto"/>
                    <w:right w:val="single" w:sz="2" w:space="0" w:color="auto"/>
                  </w:tcBorders>
                  <w:shd w:val="clear" w:color="auto" w:fill="FFFF00"/>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762</w:t>
                  </w:r>
                  <w:r w:rsidR="00B94D01">
                    <w:rPr>
                      <w:rFonts w:eastAsia="Times New Roman" w:cs="Lucida Sans Unicode"/>
                      <w:sz w:val="18"/>
                      <w:szCs w:val="18"/>
                    </w:rPr>
                    <w:t>,</w:t>
                  </w:r>
                  <w:r w:rsidRPr="009E56BC">
                    <w:rPr>
                      <w:rFonts w:eastAsia="Times New Roman" w:cs="Lucida Sans Unicode"/>
                      <w:sz w:val="18"/>
                      <w:szCs w:val="18"/>
                    </w:rPr>
                    <w:t>82</w:t>
                  </w:r>
                </w:p>
              </w:tc>
              <w:tc>
                <w:tcPr>
                  <w:tcW w:w="1237" w:type="dxa"/>
                  <w:tcBorders>
                    <w:top w:val="single" w:sz="2" w:space="0" w:color="auto"/>
                    <w:left w:val="single" w:sz="2" w:space="0" w:color="auto"/>
                    <w:bottom w:val="single" w:sz="2" w:space="0" w:color="auto"/>
                    <w:right w:val="single" w:sz="2" w:space="0" w:color="auto"/>
                  </w:tcBorders>
                  <w:shd w:val="clear" w:color="auto" w:fill="99CCFF"/>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108,2</w:t>
                  </w:r>
                </w:p>
              </w:tc>
              <w:tc>
                <w:tcPr>
                  <w:tcW w:w="2905" w:type="dxa"/>
                  <w:tcBorders>
                    <w:top w:val="single" w:sz="2" w:space="0" w:color="auto"/>
                    <w:left w:val="single" w:sz="2" w:space="0" w:color="auto"/>
                    <w:bottom w:val="single" w:sz="2" w:space="0" w:color="auto"/>
                    <w:right w:val="single" w:sz="2" w:space="0" w:color="auto"/>
                  </w:tcBorders>
                  <w:shd w:val="clear" w:color="auto" w:fill="CCFFCC"/>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1506,73910</w:t>
                  </w:r>
                </w:p>
              </w:tc>
              <w:tc>
                <w:tcPr>
                  <w:tcW w:w="2905" w:type="dxa"/>
                  <w:tcBorders>
                    <w:top w:val="single" w:sz="2" w:space="0" w:color="auto"/>
                    <w:left w:val="single" w:sz="2" w:space="0" w:color="auto"/>
                    <w:bottom w:val="single" w:sz="2" w:space="0" w:color="auto"/>
                    <w:right w:val="single" w:sz="2" w:space="0" w:color="auto"/>
                  </w:tcBorders>
                  <w:shd w:val="clear" w:color="auto" w:fill="FFCC99"/>
                  <w:noWrap/>
                  <w:vAlign w:val="bottom"/>
                  <w:hideMark/>
                </w:tcPr>
                <w:p w:rsidR="009E56BC" w:rsidRPr="009E56BC" w:rsidRDefault="009E56BC" w:rsidP="009E56BC">
                  <w:pPr>
                    <w:spacing w:after="0"/>
                    <w:jc w:val="right"/>
                    <w:rPr>
                      <w:rFonts w:eastAsia="Times New Roman" w:cs="Lucida Sans Unicode"/>
                      <w:sz w:val="18"/>
                      <w:szCs w:val="18"/>
                    </w:rPr>
                  </w:pPr>
                  <w:r w:rsidRPr="009E56BC">
                    <w:rPr>
                      <w:rFonts w:eastAsia="Times New Roman" w:cs="Lucida Sans Unicode"/>
                      <w:sz w:val="18"/>
                      <w:szCs w:val="18"/>
                    </w:rPr>
                    <w:t>705</w:t>
                  </w:r>
                  <w:r w:rsidR="00B94D01">
                    <w:rPr>
                      <w:rFonts w:eastAsia="Times New Roman" w:cs="Lucida Sans Unicode"/>
                      <w:sz w:val="18"/>
                      <w:szCs w:val="18"/>
                    </w:rPr>
                    <w:t>,</w:t>
                  </w:r>
                  <w:r w:rsidRPr="009E56BC">
                    <w:rPr>
                      <w:rFonts w:eastAsia="Times New Roman" w:cs="Lucida Sans Unicode"/>
                      <w:sz w:val="18"/>
                      <w:szCs w:val="18"/>
                    </w:rPr>
                    <w:t>01</w:t>
                  </w:r>
                </w:p>
              </w:tc>
            </w:tr>
          </w:tbl>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altri termini, per sopportare lo stesso peso economico sostenuto dal consumatore italiano (1,392 euro al litro) in Francia il prodotto dovrebbe costare 1,53</w:t>
            </w:r>
            <w:r w:rsidR="00B94D01">
              <w:rPr>
                <w:rFonts w:cs="Times New Roman"/>
                <w:color w:val="17365D" w:themeColor="text2" w:themeShade="BF"/>
                <w:sz w:val="24"/>
                <w:szCs w:val="24"/>
              </w:rPr>
              <w:t>4</w:t>
            </w:r>
            <w:r w:rsidRPr="009E56BC">
              <w:rPr>
                <w:rFonts w:cs="Times New Roman"/>
                <w:color w:val="17365D" w:themeColor="text2" w:themeShade="BF"/>
                <w:sz w:val="24"/>
                <w:szCs w:val="24"/>
              </w:rPr>
              <w:t xml:space="preserve"> euro, in Germania 1,761 euro ecc. [colonna 4],</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 colonna 5 mostra quanto il prodotto dovrebbe costare in Italia perché consumatore italiano sopporti lo stesso peso economico sostenuto dal consumatore del paese X: per sopportare lo stesso peso dei francesi, in Italia dovrebbe costare 0,787 ecc.</w:t>
            </w:r>
          </w:p>
          <w:p w:rsidR="009E56BC" w:rsidRPr="009E56BC" w:rsidRDefault="009E56BC" w:rsidP="009E56BC">
            <w:pPr>
              <w:spacing w:after="0"/>
            </w:pPr>
          </w:p>
          <w:p w:rsidR="009E56BC" w:rsidRPr="009E56BC" w:rsidRDefault="009E56BC" w:rsidP="009E56BC">
            <w:pPr>
              <w:spacing w:after="0"/>
              <w:jc w:val="center"/>
            </w:pPr>
          </w:p>
          <w:p w:rsidR="009E56BC" w:rsidRPr="009E56BC" w:rsidRDefault="009E56BC" w:rsidP="009E56BC">
            <w:pPr>
              <w:pStyle w:val="Titolo4"/>
              <w:spacing w:after="0"/>
              <w:rPr>
                <w:b w:val="0"/>
              </w:rPr>
            </w:pPr>
            <w:r w:rsidRPr="009E56BC">
              <w:rPr>
                <w:b w:val="0"/>
              </w:rPr>
              <w:t xml:space="preserve">4.3.2) GASOLIO DA RISCALDAMENTO. </w:t>
            </w:r>
            <w:r w:rsidRPr="009E56BC">
              <w:t>PREZZO INDUSTRIALE</w:t>
            </w:r>
            <w:r w:rsidRPr="009E56BC">
              <w:rPr>
                <w:b w:val="0"/>
              </w:rPr>
              <w:t xml:space="preserve"> </w:t>
            </w:r>
          </w:p>
          <w:p w:rsidR="009E56BC" w:rsidRPr="009E56BC" w:rsidRDefault="009E56BC" w:rsidP="009E56BC">
            <w:pPr>
              <w:pStyle w:val="Titolo4"/>
              <w:spacing w:after="0"/>
              <w:rPr>
                <w:b w:val="0"/>
              </w:rPr>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Il prezzo industriale in Italia (0,73822 euro) è più alto di quello risultante negli altri 4 paesi. La sua variazione dal 2009 è di oltre il 61,7 %, minore del trend inglese (+71,2 %), ma inferiore a quello di Francia (+49,4 %) e di Germania (+43,9%)</w:t>
            </w:r>
          </w:p>
          <w:p w:rsidR="009E56BC" w:rsidRPr="009E56BC" w:rsidRDefault="009E56BC" w:rsidP="009E56BC">
            <w:pPr>
              <w:spacing w:after="0"/>
            </w:pPr>
          </w:p>
          <w:p w:rsidR="001F6E93" w:rsidRDefault="001F6E93" w:rsidP="009E56BC">
            <w:pPr>
              <w:spacing w:after="0"/>
              <w:jc w:val="center"/>
              <w:rPr>
                <w:b/>
              </w:rPr>
            </w:pPr>
          </w:p>
          <w:p w:rsidR="009E56BC" w:rsidRPr="00AA6552" w:rsidRDefault="009E56BC" w:rsidP="009E56BC">
            <w:pPr>
              <w:spacing w:after="0"/>
              <w:jc w:val="center"/>
              <w:rPr>
                <w:b/>
              </w:rPr>
            </w:pPr>
            <w:r w:rsidRPr="00AA6552">
              <w:rPr>
                <w:b/>
              </w:rPr>
              <w:t>TAB. 11-  GASOLIO DA RISCALDAMENTO. PREZZO AL NETTO DELLE TASSE</w:t>
            </w:r>
          </w:p>
          <w:p w:rsidR="009E56BC" w:rsidRPr="009E56BC" w:rsidRDefault="009E56BC" w:rsidP="009E56BC">
            <w:pPr>
              <w:spacing w:after="0"/>
              <w:jc w:val="center"/>
            </w:pPr>
            <w:r w:rsidRPr="00AA6552">
              <w:rPr>
                <w:b/>
              </w:rPr>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0,45642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0,73822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+ 61,7 %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0,44608</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0,66640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+ 49,4 %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0,43809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0,63050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+ 43,9 %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0,38549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0,63050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+ 63,6 %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0,34255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0,58649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+ 71,2 %</w:t>
                  </w:r>
                </w:p>
              </w:tc>
            </w:tr>
          </w:tbl>
          <w:p w:rsidR="009E56BC" w:rsidRPr="009E56BC" w:rsidRDefault="009E56BC" w:rsidP="009E56BC">
            <w:pPr>
              <w:spacing w:after="0"/>
              <w:jc w:val="center"/>
            </w:pPr>
          </w:p>
          <w:p w:rsidR="009E56BC" w:rsidRPr="009E56BC" w:rsidRDefault="009E56BC" w:rsidP="009E56BC">
            <w:pPr>
              <w:spacing w:after="0"/>
              <w:jc w:val="center"/>
            </w:pPr>
          </w:p>
          <w:p w:rsidR="009E56BC" w:rsidRPr="009E56BC" w:rsidRDefault="009E56BC" w:rsidP="009E56BC">
            <w:pPr>
              <w:pStyle w:val="Titolo4"/>
              <w:spacing w:after="0"/>
              <w:rPr>
                <w:b w:val="0"/>
              </w:rPr>
            </w:pPr>
            <w:r w:rsidRPr="009E56BC">
              <w:rPr>
                <w:b w:val="0"/>
              </w:rPr>
              <w:t xml:space="preserve">4.3.3) GASOLIO DA RISCALDAMENTO. </w:t>
            </w:r>
            <w:r w:rsidRPr="009E56BC">
              <w:t xml:space="preserve">TASSAZIONE </w:t>
            </w:r>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Sebbene la variazione della tassazione imposta in Italia sul gasolio da riscaldamento abbia subito la minore variazione dal 2009 (13,8% contro il 49% della Spagna, il 30,4% della Gran Bretagna ecc.)  TAB. 12-, il nostro livello di imposizione risulta comunque il più alto in valore assoluto: 0,65443% contro lo 0,17633% della Gran Bretagna, lo 0,19280 della Germania ecc.</w:t>
            </w:r>
          </w:p>
          <w:p w:rsidR="009E56BC" w:rsidRPr="00AA6552" w:rsidRDefault="009E56BC" w:rsidP="009E56BC">
            <w:pPr>
              <w:spacing w:after="0"/>
              <w:rPr>
                <w:b/>
              </w:rPr>
            </w:pPr>
          </w:p>
          <w:p w:rsidR="009E56BC" w:rsidRPr="00AA6552" w:rsidRDefault="009E56BC" w:rsidP="009E56BC">
            <w:pPr>
              <w:spacing w:after="0"/>
              <w:jc w:val="center"/>
              <w:rPr>
                <w:b/>
              </w:rPr>
            </w:pPr>
            <w:r w:rsidRPr="00AA6552">
              <w:rPr>
                <w:b/>
              </w:rPr>
              <w:t>TAB. 12-  GASOLIO DA RISCALDAMENTO tassazione</w:t>
            </w:r>
          </w:p>
          <w:p w:rsidR="009E56BC" w:rsidRPr="00AA6552" w:rsidRDefault="009E56BC" w:rsidP="009E56BC">
            <w:pPr>
              <w:spacing w:after="0"/>
              <w:jc w:val="center"/>
              <w:rPr>
                <w:b/>
              </w:rPr>
            </w:pPr>
            <w:r w:rsidRPr="00AA6552">
              <w:rPr>
                <w:b/>
              </w:rPr>
              <w:t>Fonte: Commissione europea – Energy policy</w:t>
            </w:r>
          </w:p>
          <w:tbl>
            <w:tblPr>
              <w:tblStyle w:val="Grigliatabella"/>
              <w:tblW w:w="0" w:type="auto"/>
              <w:jc w:val="center"/>
              <w:tblLook w:val="04A0" w:firstRow="1" w:lastRow="0" w:firstColumn="1" w:lastColumn="0" w:noHBand="0" w:noVBand="1"/>
            </w:tblPr>
            <w:tblGrid>
              <w:gridCol w:w="2660"/>
              <w:gridCol w:w="1720"/>
              <w:gridCol w:w="1721"/>
              <w:gridCol w:w="1721"/>
            </w:tblGrid>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172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12-1-2009</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25-8-2014</w:t>
                  </w:r>
                </w:p>
              </w:tc>
              <w:tc>
                <w:tcPr>
                  <w:tcW w:w="172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rPr>
                  </w:pPr>
                  <w:r w:rsidRPr="009E56BC">
                    <w:rPr>
                      <w:rFonts w:ascii="Century Gothic" w:hAnsi="Century Gothic"/>
                      <w:b/>
                    </w:rPr>
                    <w:t>Variaz %</w:t>
                  </w:r>
                </w:p>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2014/2009</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0,57514</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0,65433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+ 13,8 %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0,15512</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0,20120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+ 29,7 %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0,15624</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0,19280</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+ 23,4 %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0,16123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0,24025</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FF0000"/>
                    </w:rPr>
                    <w:t>+ 49,0 %</w:t>
                  </w:r>
                </w:p>
              </w:tc>
            </w:tr>
            <w:tr w:rsidR="009E56BC" w:rsidRPr="009E56BC" w:rsidTr="009E56BC">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72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0,13519</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0,17633</w:t>
                  </w:r>
                </w:p>
              </w:tc>
              <w:tc>
                <w:tcPr>
                  <w:tcW w:w="1721"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+ 30,4 %</w:t>
                  </w:r>
                </w:p>
              </w:tc>
            </w:tr>
          </w:tbl>
          <w:p w:rsidR="009E56BC" w:rsidRDefault="009E56BC" w:rsidP="009E56BC">
            <w:pPr>
              <w:spacing w:after="0"/>
            </w:pPr>
          </w:p>
          <w:p w:rsidR="009E56BC" w:rsidRPr="009E56BC" w:rsidRDefault="00A13E9B" w:rsidP="009E56BC">
            <w:pPr>
              <w:spacing w:after="0"/>
              <w:jc w:val="center"/>
            </w:pPr>
            <w:r>
              <w:pict w14:anchorId="7ED9380A">
                <v:rect id="_x0000_i1028" style="width:669.6pt;height:1.8pt" o:hralign="center" o:hrstd="t" o:hr="t" fillcolor="#a0a0a0" stroked="f"/>
              </w:pict>
            </w:r>
          </w:p>
          <w:p w:rsidR="009E56BC" w:rsidRDefault="009E56BC" w:rsidP="009E56BC">
            <w:pPr>
              <w:spacing w:after="0"/>
            </w:pPr>
          </w:p>
          <w:p w:rsidR="009E56BC" w:rsidRPr="009E56BC" w:rsidRDefault="009E56BC" w:rsidP="009E56BC">
            <w:pPr>
              <w:pStyle w:val="Titolo1"/>
              <w:spacing w:after="0"/>
            </w:pPr>
            <w:bookmarkStart w:id="25" w:name="_Toc398128214"/>
            <w:bookmarkStart w:id="26" w:name="_Toc398203757"/>
            <w:bookmarkStart w:id="27" w:name="_Toc398278652"/>
            <w:r w:rsidRPr="009E56BC">
              <w:t>5) Oneri fiscali. Incidenza percentuale sul prezzo di vendita</w:t>
            </w:r>
            <w:bookmarkEnd w:id="25"/>
            <w:bookmarkEnd w:id="26"/>
            <w:bookmarkEnd w:id="27"/>
          </w:p>
          <w:p w:rsidR="009E56BC" w:rsidRPr="009E56BC" w:rsidRDefault="009E56BC" w:rsidP="009E56BC">
            <w:pPr>
              <w:spacing w:after="0"/>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In conclusione, il livello di imposizione fiscale, rapportato al prezzo di vendita per benzina e gasolio, è il più alto tra i paesi considerati ad esclusione della Gran Bretagna ( TAB. 13-) dove il fisco pesa di più, mentre risulta in assoluto il più alto per il gasolio da riscaldamento.</w:t>
            </w:r>
          </w:p>
          <w:p w:rsidR="009E56BC" w:rsidRDefault="009E56BC" w:rsidP="009E56BC">
            <w:pPr>
              <w:spacing w:after="0"/>
              <w:jc w:val="center"/>
            </w:pPr>
          </w:p>
          <w:p w:rsidR="00AA6552" w:rsidRDefault="00AA6552" w:rsidP="009E56BC">
            <w:pPr>
              <w:spacing w:after="0"/>
              <w:jc w:val="center"/>
            </w:pPr>
          </w:p>
          <w:p w:rsidR="00AA6552" w:rsidRPr="009E56BC" w:rsidRDefault="00AA6552" w:rsidP="009E56BC">
            <w:pPr>
              <w:spacing w:after="0"/>
              <w:jc w:val="center"/>
            </w:pPr>
          </w:p>
          <w:p w:rsidR="009E56BC" w:rsidRPr="00AA6552" w:rsidRDefault="009E56BC" w:rsidP="009E56BC">
            <w:pPr>
              <w:spacing w:after="0"/>
              <w:jc w:val="center"/>
              <w:rPr>
                <w:b/>
              </w:rPr>
            </w:pPr>
            <w:r w:rsidRPr="00AA6552">
              <w:rPr>
                <w:b/>
              </w:rPr>
              <w:t>TAB. 13-  Oneri fiscali. Incidenza percentuale sul prezzo di vendita</w:t>
            </w:r>
          </w:p>
          <w:p w:rsidR="009E56BC" w:rsidRPr="009E56BC" w:rsidRDefault="009E56BC" w:rsidP="009E56BC">
            <w:pPr>
              <w:spacing w:after="0"/>
              <w:jc w:val="center"/>
            </w:pPr>
          </w:p>
          <w:tbl>
            <w:tblPr>
              <w:tblStyle w:val="Grigliatabella"/>
              <w:tblW w:w="0" w:type="auto"/>
              <w:jc w:val="center"/>
              <w:tblLook w:val="04A0" w:firstRow="1" w:lastRow="0" w:firstColumn="1" w:lastColumn="0" w:noHBand="0" w:noVBand="1"/>
            </w:tblPr>
            <w:tblGrid>
              <w:gridCol w:w="2068"/>
              <w:gridCol w:w="1281"/>
              <w:gridCol w:w="1281"/>
              <w:gridCol w:w="1281"/>
              <w:gridCol w:w="1281"/>
              <w:gridCol w:w="1281"/>
              <w:gridCol w:w="1281"/>
            </w:tblGrid>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jc w:val="center"/>
                    <w:rPr>
                      <w:rFonts w:ascii="Century Gothic" w:hAnsi="Century Gothic"/>
                      <w:b/>
                      <w:lang w:eastAsia="en-US"/>
                    </w:rPr>
                  </w:pPr>
                </w:p>
              </w:tc>
              <w:tc>
                <w:tcPr>
                  <w:tcW w:w="2380" w:type="dxa"/>
                  <w:gridSpan w:val="2"/>
                  <w:tcBorders>
                    <w:top w:val="single" w:sz="4" w:space="0" w:color="000000"/>
                    <w:left w:val="single" w:sz="4" w:space="0" w:color="000000"/>
                    <w:bottom w:val="single" w:sz="4" w:space="0" w:color="auto"/>
                    <w:right w:val="single" w:sz="4" w:space="0" w:color="000000"/>
                  </w:tcBorders>
                  <w:shd w:val="clear" w:color="auto" w:fill="C2D69B" w:themeFill="accent3" w:themeFillTint="99"/>
                  <w:vAlign w:val="center"/>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BENZINA</w:t>
                  </w:r>
                </w:p>
              </w:tc>
              <w:tc>
                <w:tcPr>
                  <w:tcW w:w="2380" w:type="dxa"/>
                  <w:gridSpan w:val="2"/>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GASOLIO AUTOTRAZIONE</w:t>
                  </w:r>
                </w:p>
              </w:tc>
              <w:tc>
                <w:tcPr>
                  <w:tcW w:w="2199" w:type="dxa"/>
                  <w:gridSpan w:val="2"/>
                  <w:tcBorders>
                    <w:top w:val="single" w:sz="4" w:space="0" w:color="000000"/>
                    <w:left w:val="single" w:sz="4" w:space="0" w:color="000000"/>
                    <w:bottom w:val="single" w:sz="4" w:space="0" w:color="auto"/>
                    <w:right w:val="single" w:sz="4" w:space="0" w:color="000000"/>
                  </w:tcBorders>
                  <w:shd w:val="clear" w:color="auto" w:fill="C2D69B" w:themeFill="accent3" w:themeFillTint="99"/>
                  <w:hideMark/>
                </w:tcPr>
                <w:p w:rsidR="009E56BC" w:rsidRPr="009E56BC" w:rsidRDefault="009E56BC" w:rsidP="009E56BC">
                  <w:pPr>
                    <w:spacing w:after="0"/>
                    <w:jc w:val="center"/>
                    <w:rPr>
                      <w:rFonts w:ascii="Century Gothic" w:hAnsi="Century Gothic"/>
                      <w:b/>
                      <w:lang w:eastAsia="en-US"/>
                    </w:rPr>
                  </w:pPr>
                  <w:r w:rsidRPr="009E56BC">
                    <w:rPr>
                      <w:rFonts w:ascii="Century Gothic" w:hAnsi="Century Gothic"/>
                      <w:b/>
                    </w:rPr>
                    <w:t>GASOLIO  RISCALDAMENTO</w:t>
                  </w:r>
                </w:p>
              </w:tc>
            </w:tr>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9E56BC" w:rsidRPr="009E56BC" w:rsidRDefault="009E56BC" w:rsidP="009E56BC">
                  <w:pPr>
                    <w:spacing w:after="0"/>
                    <w:rPr>
                      <w:rFonts w:ascii="Century Gothic" w:hAnsi="Century Gothic"/>
                      <w:b/>
                      <w:lang w:eastAsia="en-US"/>
                    </w:rPr>
                  </w:pPr>
                </w:p>
              </w:tc>
              <w:tc>
                <w:tcPr>
                  <w:tcW w:w="119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9E56BC" w:rsidRPr="009E56BC" w:rsidRDefault="009E56BC" w:rsidP="009E56BC">
                  <w:pPr>
                    <w:spacing w:after="0"/>
                    <w:jc w:val="right"/>
                    <w:rPr>
                      <w:rFonts w:ascii="Century Gothic" w:hAnsi="Century Gothic"/>
                      <w:b/>
                      <w:lang w:eastAsia="en-US"/>
                    </w:rPr>
                  </w:pPr>
                  <w:r w:rsidRPr="009E56BC">
                    <w:rPr>
                      <w:rFonts w:ascii="Century Gothic" w:hAnsi="Century Gothic"/>
                      <w:b/>
                    </w:rPr>
                    <w:t>12/1/2009</w:t>
                  </w:r>
                </w:p>
              </w:tc>
              <w:tc>
                <w:tcPr>
                  <w:tcW w:w="119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9E56BC" w:rsidRPr="009E56BC" w:rsidRDefault="009E56BC" w:rsidP="009E56BC">
                  <w:pPr>
                    <w:spacing w:after="0"/>
                    <w:jc w:val="right"/>
                    <w:rPr>
                      <w:rFonts w:ascii="Century Gothic" w:hAnsi="Century Gothic"/>
                      <w:b/>
                      <w:lang w:eastAsia="en-US"/>
                    </w:rPr>
                  </w:pPr>
                  <w:r w:rsidRPr="009E56BC">
                    <w:rPr>
                      <w:rFonts w:ascii="Century Gothic" w:hAnsi="Century Gothic"/>
                      <w:b/>
                    </w:rPr>
                    <w:t>25/8/2014</w:t>
                  </w:r>
                </w:p>
              </w:tc>
              <w:tc>
                <w:tcPr>
                  <w:tcW w:w="119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9E56BC" w:rsidRPr="009E56BC" w:rsidRDefault="009E56BC" w:rsidP="009E56BC">
                  <w:pPr>
                    <w:spacing w:after="0"/>
                    <w:jc w:val="right"/>
                    <w:rPr>
                      <w:rFonts w:ascii="Century Gothic" w:hAnsi="Century Gothic"/>
                      <w:b/>
                      <w:lang w:eastAsia="en-US"/>
                    </w:rPr>
                  </w:pPr>
                  <w:r w:rsidRPr="009E56BC">
                    <w:rPr>
                      <w:rFonts w:ascii="Century Gothic" w:hAnsi="Century Gothic"/>
                      <w:b/>
                    </w:rPr>
                    <w:t>12/1/2009</w:t>
                  </w:r>
                </w:p>
              </w:tc>
              <w:tc>
                <w:tcPr>
                  <w:tcW w:w="119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9E56BC" w:rsidRPr="009E56BC" w:rsidRDefault="009E56BC" w:rsidP="009E56BC">
                  <w:pPr>
                    <w:spacing w:after="0"/>
                    <w:jc w:val="right"/>
                    <w:rPr>
                      <w:rFonts w:ascii="Century Gothic" w:hAnsi="Century Gothic"/>
                      <w:b/>
                      <w:lang w:eastAsia="en-US"/>
                    </w:rPr>
                  </w:pPr>
                  <w:r w:rsidRPr="009E56BC">
                    <w:rPr>
                      <w:rFonts w:ascii="Century Gothic" w:hAnsi="Century Gothic"/>
                      <w:b/>
                    </w:rPr>
                    <w:t>25/8/2014</w:t>
                  </w:r>
                </w:p>
              </w:tc>
              <w:tc>
                <w:tcPr>
                  <w:tcW w:w="109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9E56BC" w:rsidRPr="009E56BC" w:rsidRDefault="009E56BC" w:rsidP="009E56BC">
                  <w:pPr>
                    <w:spacing w:after="0"/>
                    <w:jc w:val="right"/>
                    <w:rPr>
                      <w:rFonts w:ascii="Century Gothic" w:hAnsi="Century Gothic"/>
                      <w:b/>
                      <w:lang w:eastAsia="en-US"/>
                    </w:rPr>
                  </w:pPr>
                  <w:r w:rsidRPr="009E56BC">
                    <w:rPr>
                      <w:rFonts w:ascii="Century Gothic" w:hAnsi="Century Gothic"/>
                      <w:b/>
                    </w:rPr>
                    <w:t>12/1/2009</w:t>
                  </w:r>
                </w:p>
              </w:tc>
              <w:tc>
                <w:tcPr>
                  <w:tcW w:w="110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9E56BC" w:rsidRPr="009E56BC" w:rsidRDefault="009E56BC" w:rsidP="009E56BC">
                  <w:pPr>
                    <w:spacing w:after="0"/>
                    <w:jc w:val="right"/>
                    <w:rPr>
                      <w:rFonts w:ascii="Century Gothic" w:hAnsi="Century Gothic"/>
                      <w:b/>
                      <w:lang w:eastAsia="en-US"/>
                    </w:rPr>
                  </w:pPr>
                  <w:r w:rsidRPr="009E56BC">
                    <w:rPr>
                      <w:rFonts w:ascii="Century Gothic" w:hAnsi="Century Gothic"/>
                      <w:b/>
                    </w:rPr>
                    <w:t>25/8/2014</w:t>
                  </w:r>
                </w:p>
              </w:tc>
            </w:tr>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ITALIA</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67,3 %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60,0 %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56,9 %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56,3 %</w:t>
                  </w:r>
                </w:p>
              </w:tc>
              <w:tc>
                <w:tcPr>
                  <w:tcW w:w="1099"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55,8 %</w:t>
                  </w:r>
                </w:p>
              </w:tc>
              <w:tc>
                <w:tcPr>
                  <w:tcW w:w="110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C00000"/>
                    </w:rPr>
                    <w:t>47,0 %</w:t>
                  </w:r>
                </w:p>
              </w:tc>
            </w:tr>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FRANCIA</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 xml:space="preserve"> 71,3 %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57,7 %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59,1 %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50,7 %</w:t>
                  </w:r>
                </w:p>
              </w:tc>
              <w:tc>
                <w:tcPr>
                  <w:tcW w:w="1099"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25,8 %</w:t>
                  </w:r>
                </w:p>
              </w:tc>
              <w:tc>
                <w:tcPr>
                  <w:tcW w:w="110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23,2 %</w:t>
                  </w:r>
                </w:p>
              </w:tc>
            </w:tr>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GERMANIA</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72,7 %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58,0 %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59,4 %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50,6 %</w:t>
                  </w:r>
                </w:p>
              </w:tc>
              <w:tc>
                <w:tcPr>
                  <w:tcW w:w="1099"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26,3 %</w:t>
                  </w:r>
                </w:p>
              </w:tc>
              <w:tc>
                <w:tcPr>
                  <w:tcW w:w="110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23,4 %</w:t>
                  </w:r>
                </w:p>
              </w:tc>
            </w:tr>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SPAGNA</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60,8 %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50,4 %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49,3 %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45,5 %</w:t>
                  </w:r>
                </w:p>
              </w:tc>
              <w:tc>
                <w:tcPr>
                  <w:tcW w:w="1099"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29,5 %</w:t>
                  </w:r>
                </w:p>
              </w:tc>
              <w:tc>
                <w:tcPr>
                  <w:tcW w:w="110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27,6 %</w:t>
                  </w:r>
                </w:p>
              </w:tc>
            </w:tr>
            <w:tr w:rsidR="009E56BC" w:rsidRPr="009E56BC" w:rsidTr="009E56BC">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9E56BC" w:rsidRPr="009E56BC" w:rsidRDefault="009E56BC" w:rsidP="009E56BC">
                  <w:pPr>
                    <w:spacing w:after="0"/>
                    <w:rPr>
                      <w:rFonts w:ascii="Century Gothic" w:hAnsi="Century Gothic"/>
                      <w:b/>
                      <w:lang w:eastAsia="en-US"/>
                    </w:rPr>
                  </w:pPr>
                  <w:r w:rsidRPr="009E56BC">
                    <w:rPr>
                      <w:rFonts w:ascii="Century Gothic" w:hAnsi="Century Gothic"/>
                      <w:b/>
                    </w:rPr>
                    <w:t>GRAN BRETAGNA</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74,0 %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C00000"/>
                    </w:rPr>
                    <w:t>61,8 %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66,3 %</w:t>
                  </w:r>
                </w:p>
              </w:tc>
              <w:tc>
                <w:tcPr>
                  <w:tcW w:w="119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color w:val="C00000"/>
                    </w:rPr>
                    <w:t>60,2 %</w:t>
                  </w:r>
                </w:p>
              </w:tc>
              <w:tc>
                <w:tcPr>
                  <w:tcW w:w="1099"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28,3 %</w:t>
                  </w:r>
                </w:p>
              </w:tc>
              <w:tc>
                <w:tcPr>
                  <w:tcW w:w="1100" w:type="dxa"/>
                  <w:tcBorders>
                    <w:top w:val="single" w:sz="4" w:space="0" w:color="000000"/>
                    <w:left w:val="single" w:sz="4" w:space="0" w:color="000000"/>
                    <w:bottom w:val="single" w:sz="4" w:space="0" w:color="000000"/>
                    <w:right w:val="single" w:sz="4" w:space="0" w:color="000000"/>
                  </w:tcBorders>
                  <w:hideMark/>
                </w:tcPr>
                <w:p w:rsidR="009E56BC" w:rsidRPr="009E56BC" w:rsidRDefault="009E56BC" w:rsidP="009E56BC">
                  <w:pPr>
                    <w:spacing w:after="0"/>
                    <w:jc w:val="right"/>
                    <w:rPr>
                      <w:rFonts w:ascii="Century Gothic" w:hAnsi="Century Gothic"/>
                      <w:lang w:eastAsia="en-US"/>
                    </w:rPr>
                  </w:pPr>
                  <w:r w:rsidRPr="009E56BC">
                    <w:rPr>
                      <w:rFonts w:ascii="Century Gothic" w:hAnsi="Century Gothic"/>
                    </w:rPr>
                    <w:t>23,1 %</w:t>
                  </w:r>
                </w:p>
              </w:tc>
            </w:tr>
          </w:tbl>
          <w:p w:rsidR="009E56BC" w:rsidRPr="009E56BC" w:rsidRDefault="009E56BC" w:rsidP="009E56BC">
            <w:pPr>
              <w:spacing w:after="0"/>
            </w:pPr>
          </w:p>
          <w:p w:rsidR="009E56BC" w:rsidRPr="009E56BC" w:rsidRDefault="009E56BC" w:rsidP="009E56BC">
            <w:pPr>
              <w:spacing w:after="0"/>
            </w:pPr>
          </w:p>
          <w:p w:rsidR="009E56BC" w:rsidRPr="009E56BC" w:rsidRDefault="00A13E9B" w:rsidP="009E56BC">
            <w:pPr>
              <w:spacing w:after="0"/>
              <w:jc w:val="center"/>
            </w:pPr>
            <w:r>
              <w:pict w14:anchorId="6E47C3FA">
                <v:rect id="_x0000_i1029" style="width:669.6pt;height:1.8pt" o:hralign="center" o:hrstd="t" o:hr="t" fillcolor="#a0a0a0" stroked="f"/>
              </w:pict>
            </w:r>
          </w:p>
          <w:p w:rsidR="009E56BC" w:rsidRPr="009E56BC" w:rsidRDefault="009E56BC" w:rsidP="009E56BC">
            <w:pPr>
              <w:spacing w:after="0"/>
            </w:pPr>
          </w:p>
          <w:p w:rsidR="009E56BC" w:rsidRPr="009E56BC" w:rsidRDefault="009E56BC" w:rsidP="009E56BC">
            <w:pPr>
              <w:pStyle w:val="Titolo1"/>
              <w:spacing w:after="0"/>
            </w:pPr>
            <w:bookmarkStart w:id="28" w:name="_Toc398128215"/>
            <w:bookmarkStart w:id="29" w:name="_Toc398203758"/>
            <w:bookmarkStart w:id="30" w:name="_Toc398278653"/>
            <w:r w:rsidRPr="009E56BC">
              <w:t>6) DOCUMENTAZIONE</w:t>
            </w:r>
            <w:bookmarkEnd w:id="28"/>
            <w:bookmarkEnd w:id="29"/>
            <w:r w:rsidR="001F6E93">
              <w:t xml:space="preserve"> E FONTI</w:t>
            </w:r>
            <w:bookmarkEnd w:id="30"/>
          </w:p>
          <w:p w:rsidR="009E56BC" w:rsidRPr="009E56BC" w:rsidRDefault="00A13E9B" w:rsidP="009E56BC">
            <w:pPr>
              <w:pStyle w:val="Titolo1"/>
              <w:spacing w:after="0"/>
            </w:pPr>
            <w:bookmarkStart w:id="31" w:name="_Toc398203759"/>
            <w:bookmarkStart w:id="32" w:name="_Toc398278654"/>
            <w:bookmarkStart w:id="33" w:name="_Toc398128216"/>
            <w:r>
              <w:pict w14:anchorId="523640AF">
                <v:rect id="_x0000_i1030" style="width:643.9pt;height:1.8pt" o:hralign="center" o:hrstd="t" o:hr="t" fillcolor="#a0a0a0" stroked="f"/>
              </w:pict>
            </w:r>
            <w:bookmarkEnd w:id="31"/>
            <w:bookmarkEnd w:id="32"/>
          </w:p>
          <w:bookmarkEnd w:id="33"/>
          <w:p w:rsidR="009E56BC" w:rsidRPr="009E56BC" w:rsidRDefault="009E56BC" w:rsidP="009E56BC">
            <w:pPr>
              <w:spacing w:after="0"/>
            </w:pPr>
          </w:p>
          <w:p w:rsidR="009E56BC" w:rsidRPr="009E56BC" w:rsidRDefault="009E56BC" w:rsidP="009E56BC">
            <w:pPr>
              <w:pStyle w:val="Titolo2"/>
              <w:shd w:val="clear" w:color="auto" w:fill="FFFFFF"/>
              <w:spacing w:before="0" w:after="0"/>
              <w:jc w:val="both"/>
              <w:rPr>
                <w:rStyle w:val="Enfasicorsivo"/>
                <w:rFonts w:cs="Arial"/>
                <w:color w:val="002060"/>
                <w:sz w:val="24"/>
                <w:szCs w:val="24"/>
              </w:rPr>
            </w:pPr>
            <w:bookmarkStart w:id="34" w:name="_Toc398128217"/>
            <w:bookmarkStart w:id="35" w:name="_Toc398203760"/>
            <w:bookmarkStart w:id="36" w:name="_Toc398278655"/>
            <w:r w:rsidRPr="009E56BC">
              <w:rPr>
                <w:rStyle w:val="Enfasicorsivo"/>
                <w:rFonts w:cs="Arial"/>
                <w:color w:val="002060"/>
                <w:sz w:val="24"/>
                <w:szCs w:val="24"/>
              </w:rPr>
              <w:t xml:space="preserve">6.1) App del Mise: i prezzi dei carburanti applicati alle pompe della zona d’interesse </w:t>
            </w:r>
            <w:r w:rsidR="004923C9">
              <w:rPr>
                <w:rStyle w:val="Enfasicorsivo"/>
                <w:rFonts w:cs="Arial"/>
                <w:color w:val="002060"/>
                <w:sz w:val="24"/>
                <w:szCs w:val="24"/>
              </w:rPr>
              <w:t>per</w:t>
            </w:r>
            <w:r w:rsidRPr="009E56BC">
              <w:rPr>
                <w:rStyle w:val="Enfasicorsivo"/>
                <w:rFonts w:cs="Arial"/>
                <w:color w:val="002060"/>
                <w:sz w:val="24"/>
                <w:szCs w:val="24"/>
              </w:rPr>
              <w:t xml:space="preserve"> scegliere il gestore più conveniente</w:t>
            </w:r>
            <w:bookmarkEnd w:id="34"/>
            <w:bookmarkEnd w:id="35"/>
            <w:bookmarkEnd w:id="36"/>
          </w:p>
          <w:p w:rsidR="009E56BC" w:rsidRPr="009E56BC" w:rsidRDefault="009E56BC" w:rsidP="009E56BC">
            <w:pPr>
              <w:spacing w:after="0"/>
            </w:pPr>
          </w:p>
          <w:p w:rsidR="009E56BC" w:rsidRPr="009E56BC" w:rsidRDefault="009E56BC" w:rsidP="009E56BC">
            <w:pPr>
              <w:spacing w:after="0"/>
              <w:rPr>
                <w:color w:val="002060"/>
              </w:rPr>
            </w:pPr>
          </w:p>
          <w:p w:rsidR="009E56BC" w:rsidRPr="009E56BC" w:rsidRDefault="009E56BC" w:rsidP="00476D96">
            <w:pPr>
              <w:shd w:val="clear" w:color="auto" w:fill="FFFFFF"/>
              <w:spacing w:after="0"/>
              <w:jc w:val="center"/>
              <w:rPr>
                <w:rFonts w:cs="Arial"/>
                <w:caps/>
                <w:color w:val="002060"/>
                <w:sz w:val="23"/>
                <w:szCs w:val="23"/>
              </w:rPr>
            </w:pPr>
            <w:r w:rsidRPr="009E56BC">
              <w:rPr>
                <w:rStyle w:val="Enfasigrassetto"/>
                <w:rFonts w:cs="Arial"/>
                <w:caps/>
                <w:color w:val="002060"/>
                <w:sz w:val="23"/>
                <w:szCs w:val="23"/>
              </w:rPr>
              <w:t>MISE: CARBURANTI. PRESENTATA ‘APP’ OSSERVAPREZZI</w:t>
            </w:r>
          </w:p>
          <w:p w:rsidR="009E56BC" w:rsidRDefault="009E56BC" w:rsidP="00476D96">
            <w:pPr>
              <w:pStyle w:val="Titolo2"/>
              <w:shd w:val="clear" w:color="auto" w:fill="FFFFFF"/>
              <w:spacing w:before="0" w:after="0"/>
              <w:jc w:val="left"/>
              <w:rPr>
                <w:rStyle w:val="Enfasicorsivo"/>
                <w:rFonts w:cs="Arial"/>
                <w:b w:val="0"/>
                <w:color w:val="002060"/>
                <w:sz w:val="24"/>
                <w:szCs w:val="24"/>
              </w:rPr>
            </w:pPr>
            <w:bookmarkStart w:id="37" w:name="_Toc398128218"/>
            <w:bookmarkStart w:id="38" w:name="_Toc398203761"/>
            <w:bookmarkStart w:id="39" w:name="_Toc398278656"/>
            <w:r w:rsidRPr="00476D96">
              <w:rPr>
                <w:rStyle w:val="Enfasicorsivo"/>
                <w:rFonts w:cs="Arial"/>
                <w:b w:val="0"/>
                <w:color w:val="002060"/>
                <w:sz w:val="24"/>
                <w:szCs w:val="24"/>
              </w:rPr>
              <w:t>Vicari: più tutela e trasparenza per consumatori. Un passo in avanti per digitalizzazione PA</w:t>
            </w:r>
            <w:bookmarkEnd w:id="37"/>
            <w:bookmarkEnd w:id="38"/>
            <w:bookmarkEnd w:id="39"/>
          </w:p>
          <w:p w:rsidR="00476D96" w:rsidRPr="00476D96" w:rsidRDefault="00476D96" w:rsidP="00476D96">
            <w:pPr>
              <w:pStyle w:val="Titolo2"/>
              <w:shd w:val="clear" w:color="auto" w:fill="FFFFFF"/>
              <w:spacing w:before="0" w:after="0"/>
              <w:jc w:val="left"/>
              <w:rPr>
                <w:rFonts w:cs="Arial"/>
                <w:b w:val="0"/>
                <w:color w:val="002060"/>
                <w:sz w:val="24"/>
                <w:szCs w:val="24"/>
              </w:rPr>
            </w:pP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Roma, 21 maggio 2014 -Da oggi gli automobilisti possono avere a portata di mano i prezzi dei carburanti e scegliere il gestore più conveniente. Grazie alla ‘app’ gratuita del Ministero dello Sviluppo Economico, disponibile sugli store ‘Googleplay’ e ‘iTunes’, presentata oggi nella sede del Ministero dal sottosegretario Simona Vicari.</w:t>
            </w:r>
          </w:p>
          <w:p w:rsidR="009E56BC" w:rsidRPr="009E56BC" w:rsidRDefault="00476D96" w:rsidP="009E56BC">
            <w:pPr>
              <w:spacing w:after="0"/>
              <w:rPr>
                <w:rFonts w:cs="Times New Roman"/>
                <w:color w:val="17365D" w:themeColor="text2" w:themeShade="BF"/>
                <w:sz w:val="24"/>
                <w:szCs w:val="24"/>
              </w:rPr>
            </w:pPr>
            <w:r w:rsidRPr="009E56BC">
              <w:rPr>
                <w:noProof/>
                <w:lang w:eastAsia="it-IT"/>
              </w:rPr>
              <w:drawing>
                <wp:anchor distT="0" distB="0" distL="114300" distR="114300" simplePos="0" relativeHeight="251661312" behindDoc="0" locked="0" layoutInCell="1" allowOverlap="1" wp14:anchorId="09A460E1" wp14:editId="02254287">
                  <wp:simplePos x="0" y="0"/>
                  <wp:positionH relativeFrom="column">
                    <wp:posOffset>1858645</wp:posOffset>
                  </wp:positionH>
                  <wp:positionV relativeFrom="paragraph">
                    <wp:posOffset>-412750</wp:posOffset>
                  </wp:positionV>
                  <wp:extent cx="1814195" cy="1777365"/>
                  <wp:effectExtent l="0" t="0" r="0" b="0"/>
                  <wp:wrapSquare wrapText="bothSides"/>
                  <wp:docPr id="9" name="Immagine 3" descr="Logo dell'app &quot;OsservaPrezz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Logo dell'app &quot;OsservaPrezzi&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14195" cy="1777365"/>
                          </a:xfrm>
                          <a:prstGeom prst="rect">
                            <a:avLst/>
                          </a:prstGeom>
                          <a:noFill/>
                        </pic:spPr>
                      </pic:pic>
                    </a:graphicData>
                  </a:graphic>
                  <wp14:sizeRelH relativeFrom="page">
                    <wp14:pctWidth>0</wp14:pctWidth>
                  </wp14:sizeRelH>
                  <wp14:sizeRelV relativeFrom="page">
                    <wp14:pctHeight>0</wp14:pctHeight>
                  </wp14:sizeRelV>
                </wp:anchor>
              </w:drawing>
            </w:r>
            <w:r w:rsidR="009E56BC" w:rsidRPr="009E56BC">
              <w:rPr>
                <w:rFonts w:cs="Times New Roman"/>
                <w:color w:val="17365D" w:themeColor="text2" w:themeShade="BF"/>
                <w:sz w:val="24"/>
                <w:szCs w:val="24"/>
              </w:rPr>
              <w:t>“Si tratta di un’iniziativa importante - ha spiegato il sottosegretario Vicari – non solo perché è la prima ‘app’ targata Mise, ma soprattutto perché forniamo ai consumatori uno strumento utile, grazie al quale sarà possibile accedere facilmente ai vari listini e scegliere il gestore più conveniente. Oggi, inoltre, compiamo un passo ulteriore verso la digitalizzazione della Pubblica Amministrazione, aumentando la trasparenza e rendendo fruibili in modo dinamico sui propri dispositivi mobili i dati raccolti, già normalmente pubblicati on-line nel sito dell’Osservatorio prezzi carburanti, in attuazione della vigenti previsioni legislative sulla conoscibilità dei prezzi”.</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L’applicazione, sviluppata in collaborazione con Unioncamere e Infocamere, tecnicamente consente di trovare anche durante il viaggio i distributori di carburanti più comodi e convenienti per il rifornimento, segnalandoli attraverso icone di gradazioni cromatiche diverse: il colore verde indica il prezzo più basso fino al colore rosso prezzo più alto. Attraverso questa innovazione l’automobilista, quindi, ovunque si trovi (autostrade - strade statali - e altre strade) potrà scegliere in modo più consapevole il punto vendita dove far rifornimento, oltre alla possibilità di incentivare la concorrenza tra i gestori.</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“Questa ‘app’ non si rivolge soltanto ai consumatori ma anche ai gestori. – ha concluso il Sottosegretario Vicari - Non solo, infatti, rendiamo più trasparenti prezzi e servizi, ma allo stesso tempo mettiamo i vari esercizi commerciali in diretta competizione fra di loro, stimolandoli ad offrire i loro prodotti a prezzi più vantaggiosi. Trasparenza, quindi, ma anche concorrenza. Adesso il prossimo passo è il rinnovamento del sito stesso dell’Osservatorio prezzi, con nuove modalità di ricerca anche da web, nell’ottica di un’amministrazione sempre più trasparente e a misura di consumatore”.</w:t>
            </w:r>
          </w:p>
          <w:p w:rsidR="009E56BC" w:rsidRPr="009E56BC" w:rsidRDefault="009E56BC" w:rsidP="009E56BC">
            <w:pPr>
              <w:spacing w:after="0"/>
              <w:rPr>
                <w:rFonts w:cs="Times New Roman"/>
                <w:color w:val="17365D" w:themeColor="text2" w:themeShade="BF"/>
                <w:sz w:val="24"/>
                <w:szCs w:val="24"/>
              </w:rPr>
            </w:pPr>
            <w:r w:rsidRPr="009E56BC">
              <w:rPr>
                <w:rFonts w:cs="Times New Roman"/>
                <w:color w:val="17365D" w:themeColor="text2" w:themeShade="BF"/>
                <w:sz w:val="24"/>
                <w:szCs w:val="24"/>
              </w:rPr>
              <w:t>Per maggiori informazioni</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0" w:history="1">
              <w:r w:rsidR="009E56BC" w:rsidRPr="009E56BC">
                <w:rPr>
                  <w:rStyle w:val="Collegamentoipertestuale"/>
                  <w:rFonts w:cs="Arial"/>
                  <w:bCs/>
                  <w:color w:val="003965"/>
                  <w:sz w:val="18"/>
                  <w:szCs w:val="18"/>
                </w:rPr>
                <w:t>Presentazione</w:t>
              </w:r>
            </w:hyperlink>
            <w:r w:rsidR="009E56BC" w:rsidRPr="009E56BC">
              <w:rPr>
                <w:rStyle w:val="apple-converted-space"/>
                <w:color w:val="000000"/>
                <w:sz w:val="18"/>
                <w:szCs w:val="18"/>
              </w:rPr>
              <w:t> </w:t>
            </w:r>
            <w:r w:rsidR="009E56BC" w:rsidRPr="009E56BC">
              <w:rPr>
                <w:rFonts w:cs="Arial"/>
                <w:color w:val="000000"/>
                <w:sz w:val="18"/>
                <w:szCs w:val="18"/>
              </w:rPr>
              <w:t>(pdf, 1 Mb)</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1" w:history="1">
              <w:r w:rsidR="009E56BC" w:rsidRPr="009E56BC">
                <w:rPr>
                  <w:rStyle w:val="Collegamentoipertestuale"/>
                  <w:rFonts w:cs="Arial"/>
                  <w:bCs/>
                  <w:color w:val="003965"/>
                  <w:sz w:val="18"/>
                  <w:szCs w:val="18"/>
                </w:rPr>
                <w:t>Come si usa</w:t>
              </w:r>
            </w:hyperlink>
            <w:r w:rsidR="009E56BC" w:rsidRPr="009E56BC">
              <w:rPr>
                <w:rStyle w:val="apple-converted-space"/>
                <w:color w:val="000000"/>
                <w:sz w:val="18"/>
                <w:szCs w:val="18"/>
              </w:rPr>
              <w:t> </w:t>
            </w:r>
            <w:r w:rsidR="009E56BC" w:rsidRPr="009E56BC">
              <w:rPr>
                <w:rFonts w:cs="Arial"/>
                <w:color w:val="000000"/>
                <w:sz w:val="18"/>
                <w:szCs w:val="18"/>
              </w:rPr>
              <w:t>(pdf, 463 kb)</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2" w:history="1">
              <w:r w:rsidR="009E56BC" w:rsidRPr="009E56BC">
                <w:rPr>
                  <w:rStyle w:val="Collegamentoipertestuale"/>
                  <w:rFonts w:cs="Arial"/>
                  <w:bCs/>
                  <w:color w:val="003965"/>
                  <w:sz w:val="18"/>
                  <w:szCs w:val="18"/>
                </w:rPr>
                <w:t>La piattaforma tecnologica</w:t>
              </w:r>
            </w:hyperlink>
            <w:r w:rsidR="009E56BC" w:rsidRPr="009E56BC">
              <w:rPr>
                <w:rStyle w:val="apple-converted-space"/>
                <w:color w:val="000000"/>
                <w:sz w:val="18"/>
                <w:szCs w:val="18"/>
              </w:rPr>
              <w:t> </w:t>
            </w:r>
            <w:r w:rsidR="009E56BC" w:rsidRPr="009E56BC">
              <w:rPr>
                <w:rFonts w:cs="Arial"/>
                <w:color w:val="000000"/>
                <w:sz w:val="18"/>
                <w:szCs w:val="18"/>
              </w:rPr>
              <w:t>(pdf, 376 kb)</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3" w:history="1">
              <w:r w:rsidR="009E56BC" w:rsidRPr="009E56BC">
                <w:rPr>
                  <w:rStyle w:val="Collegamentoipertestuale"/>
                  <w:rFonts w:cs="Arial"/>
                  <w:bCs/>
                  <w:color w:val="003965"/>
                  <w:sz w:val="18"/>
                  <w:szCs w:val="18"/>
                </w:rPr>
                <w:t>L'Osservatorio in numeri</w:t>
              </w:r>
            </w:hyperlink>
            <w:r w:rsidR="009E56BC" w:rsidRPr="009E56BC">
              <w:rPr>
                <w:rStyle w:val="apple-converted-space"/>
                <w:color w:val="000000"/>
                <w:sz w:val="18"/>
                <w:szCs w:val="18"/>
              </w:rPr>
              <w:t> </w:t>
            </w:r>
            <w:r w:rsidR="009E56BC" w:rsidRPr="009E56BC">
              <w:rPr>
                <w:rFonts w:cs="Arial"/>
                <w:color w:val="000000"/>
                <w:sz w:val="18"/>
                <w:szCs w:val="18"/>
              </w:rPr>
              <w:t>(pdf, 382 kb)</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4" w:history="1">
              <w:r w:rsidR="009E56BC" w:rsidRPr="009E56BC">
                <w:rPr>
                  <w:rStyle w:val="Collegamentoipertestuale"/>
                  <w:rFonts w:cs="Arial"/>
                  <w:bCs/>
                  <w:color w:val="003965"/>
                  <w:sz w:val="18"/>
                  <w:szCs w:val="18"/>
                </w:rPr>
                <w:t>La base giuridica</w:t>
              </w:r>
            </w:hyperlink>
            <w:r w:rsidR="009E56BC" w:rsidRPr="009E56BC">
              <w:rPr>
                <w:rStyle w:val="apple-converted-space"/>
                <w:color w:val="000000"/>
                <w:sz w:val="18"/>
                <w:szCs w:val="18"/>
              </w:rPr>
              <w:t> </w:t>
            </w:r>
            <w:r w:rsidR="009E56BC" w:rsidRPr="009E56BC">
              <w:rPr>
                <w:rFonts w:cs="Arial"/>
                <w:color w:val="000000"/>
                <w:sz w:val="18"/>
                <w:szCs w:val="18"/>
              </w:rPr>
              <w:t>(pdf, 282 kb)</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5" w:history="1">
              <w:r w:rsidR="009E56BC" w:rsidRPr="009E56BC">
                <w:rPr>
                  <w:rStyle w:val="Collegamentoipertestuale"/>
                  <w:rFonts w:cs="Arial"/>
                  <w:bCs/>
                  <w:color w:val="003965"/>
                  <w:sz w:val="18"/>
                  <w:szCs w:val="18"/>
                </w:rPr>
                <w:t>Cosa fare se...</w:t>
              </w:r>
            </w:hyperlink>
            <w:r w:rsidR="009E56BC" w:rsidRPr="009E56BC">
              <w:rPr>
                <w:rFonts w:cs="Arial"/>
                <w:color w:val="000000"/>
                <w:sz w:val="18"/>
                <w:szCs w:val="18"/>
              </w:rPr>
              <w:t>  (pdf, 278 kb)</w:t>
            </w:r>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6" w:history="1">
              <w:r w:rsidR="009E56BC" w:rsidRPr="009E56BC">
                <w:rPr>
                  <w:rStyle w:val="Collegamentoipertestuale"/>
                  <w:rFonts w:cs="Arial"/>
                  <w:bCs/>
                  <w:color w:val="003965"/>
                  <w:sz w:val="18"/>
                  <w:szCs w:val="18"/>
                </w:rPr>
                <w:t>Scarica la app su Google Play</w:t>
              </w:r>
            </w:hyperlink>
          </w:p>
          <w:p w:rsidR="009E56BC" w:rsidRPr="009E56BC" w:rsidRDefault="00A13E9B" w:rsidP="009E56BC">
            <w:pPr>
              <w:numPr>
                <w:ilvl w:val="0"/>
                <w:numId w:val="4"/>
              </w:numPr>
              <w:shd w:val="clear" w:color="auto" w:fill="FFFFFF"/>
              <w:spacing w:before="100" w:beforeAutospacing="1" w:after="0"/>
              <w:jc w:val="left"/>
              <w:rPr>
                <w:rFonts w:cs="Arial"/>
                <w:color w:val="000000"/>
                <w:sz w:val="18"/>
                <w:szCs w:val="18"/>
              </w:rPr>
            </w:pPr>
            <w:hyperlink r:id="rId27" w:history="1">
              <w:r w:rsidR="009E56BC" w:rsidRPr="009E56BC">
                <w:rPr>
                  <w:rStyle w:val="Collegamentoipertestuale"/>
                  <w:rFonts w:cs="Arial"/>
                  <w:bCs/>
                  <w:color w:val="003965"/>
                  <w:sz w:val="18"/>
                  <w:szCs w:val="18"/>
                </w:rPr>
                <w:t>Scarica la app su ITunes</w:t>
              </w:r>
            </w:hyperlink>
          </w:p>
          <w:p w:rsidR="009E56BC" w:rsidRPr="009E56BC" w:rsidRDefault="009E56BC" w:rsidP="009E56BC">
            <w:pPr>
              <w:spacing w:after="0"/>
            </w:pPr>
          </w:p>
          <w:p w:rsidR="009E56BC" w:rsidRPr="009E56BC" w:rsidRDefault="00A13E9B" w:rsidP="009E56BC">
            <w:pPr>
              <w:spacing w:after="0"/>
              <w:jc w:val="center"/>
            </w:pPr>
            <w:r>
              <w:pict w14:anchorId="065C64F3">
                <v:rect id="_x0000_i1031" style="width:669.6pt;height:1.8pt" o:hralign="center" o:hrstd="t" o:hr="t" fillcolor="#a0a0a0" stroked="f"/>
              </w:pict>
            </w:r>
          </w:p>
          <w:p w:rsidR="009E56BC" w:rsidRPr="009E56BC" w:rsidRDefault="009E56BC" w:rsidP="009E56BC">
            <w:pPr>
              <w:spacing w:after="0"/>
            </w:pPr>
          </w:p>
          <w:p w:rsidR="009E56BC" w:rsidRPr="009E56BC" w:rsidRDefault="009E56BC" w:rsidP="009E56BC">
            <w:pPr>
              <w:pStyle w:val="Titolo3"/>
              <w:spacing w:after="0"/>
              <w:jc w:val="left"/>
              <w:rPr>
                <w:rStyle w:val="Titolo3Carattere"/>
                <w:b/>
              </w:rPr>
            </w:pPr>
            <w:bookmarkStart w:id="40" w:name="_Toc398203762"/>
            <w:bookmarkStart w:id="41" w:name="_Toc398278657"/>
            <w:r w:rsidRPr="009E56BC">
              <w:t>6</w:t>
            </w:r>
            <w:r w:rsidRPr="009E56BC">
              <w:rPr>
                <w:rStyle w:val="Titolo3Carattere"/>
              </w:rPr>
              <w:t>.</w:t>
            </w:r>
            <w:r w:rsidRPr="009E56BC">
              <w:rPr>
                <w:rStyle w:val="Titolo3Carattere"/>
                <w:b/>
              </w:rPr>
              <w:t>2) Legislazione europea</w:t>
            </w:r>
            <w:bookmarkEnd w:id="40"/>
            <w:bookmarkEnd w:id="41"/>
          </w:p>
          <w:p w:rsidR="009E56BC" w:rsidRPr="00E4143B" w:rsidRDefault="00A13E9B" w:rsidP="00E4143B">
            <w:pPr>
              <w:numPr>
                <w:ilvl w:val="0"/>
                <w:numId w:val="4"/>
              </w:numPr>
              <w:shd w:val="clear" w:color="auto" w:fill="FFFFFF"/>
              <w:spacing w:before="100" w:beforeAutospacing="1" w:after="0"/>
              <w:jc w:val="left"/>
              <w:rPr>
                <w:rStyle w:val="Collegamentoipertestuale"/>
                <w:rFonts w:cs="Arial"/>
                <w:bCs/>
                <w:color w:val="003965"/>
                <w:sz w:val="18"/>
                <w:szCs w:val="18"/>
              </w:rPr>
            </w:pPr>
            <w:hyperlink r:id="rId28" w:history="1">
              <w:r w:rsidR="009E56BC" w:rsidRPr="00E4143B">
                <w:rPr>
                  <w:rStyle w:val="Collegamentoipertestuale"/>
                  <w:rFonts w:cs="Arial"/>
                  <w:bCs/>
                  <w:color w:val="003965"/>
                  <w:sz w:val="18"/>
                  <w:szCs w:val="18"/>
                </w:rPr>
                <w:t>Politica energetica europea </w:t>
              </w:r>
            </w:hyperlink>
            <w:r w:rsidR="003E635B">
              <w:rPr>
                <w:rStyle w:val="Collegamentoipertestuale"/>
                <w:rFonts w:cs="Arial"/>
                <w:bCs/>
                <w:color w:val="003965"/>
                <w:sz w:val="18"/>
                <w:szCs w:val="18"/>
              </w:rPr>
              <w:t xml:space="preserve">: </w:t>
            </w:r>
            <w:r w:rsidR="009E56BC" w:rsidRPr="00E4143B">
              <w:rPr>
                <w:rStyle w:val="Collegamentoipertestuale"/>
                <w:rFonts w:cs="Arial"/>
                <w:bCs/>
                <w:color w:val="003965"/>
                <w:sz w:val="18"/>
                <w:szCs w:val="18"/>
              </w:rPr>
              <w:t>di politica energetica per l'Europa, gli strumenti basati sul mercato, le tecnologie energetiche, strumenti finanziari</w:t>
            </w:r>
          </w:p>
          <w:p w:rsidR="009E56BC" w:rsidRPr="00E4143B" w:rsidRDefault="00A13E9B" w:rsidP="00E4143B">
            <w:pPr>
              <w:numPr>
                <w:ilvl w:val="0"/>
                <w:numId w:val="4"/>
              </w:numPr>
              <w:shd w:val="clear" w:color="auto" w:fill="FFFFFF"/>
              <w:spacing w:before="100" w:beforeAutospacing="1" w:after="0"/>
              <w:jc w:val="left"/>
              <w:rPr>
                <w:rStyle w:val="Collegamentoipertestuale"/>
                <w:rFonts w:cs="Arial"/>
                <w:bCs/>
                <w:color w:val="003965"/>
                <w:sz w:val="18"/>
                <w:szCs w:val="18"/>
              </w:rPr>
            </w:pPr>
            <w:hyperlink r:id="rId29" w:history="1">
              <w:r w:rsidR="009E56BC" w:rsidRPr="00E4143B">
                <w:rPr>
                  <w:rStyle w:val="Collegamentoipertestuale"/>
                  <w:rFonts w:cs="Arial"/>
                  <w:bCs/>
                  <w:color w:val="003965"/>
                  <w:sz w:val="18"/>
                  <w:szCs w:val="18"/>
                </w:rPr>
                <w:t>Mercato interno dell'energia </w:t>
              </w:r>
            </w:hyperlink>
            <w:r w:rsidR="003E635B">
              <w:rPr>
                <w:rStyle w:val="Collegamentoipertestuale"/>
                <w:rFonts w:cs="Arial"/>
                <w:bCs/>
                <w:color w:val="003965"/>
                <w:sz w:val="18"/>
                <w:szCs w:val="18"/>
              </w:rPr>
              <w:t xml:space="preserve">: </w:t>
            </w:r>
            <w:r w:rsidR="009E56BC" w:rsidRPr="00E4143B">
              <w:rPr>
                <w:rStyle w:val="Collegamentoipertestuale"/>
                <w:rFonts w:cs="Arial"/>
                <w:bCs/>
                <w:color w:val="003965"/>
                <w:sz w:val="18"/>
                <w:szCs w:val="18"/>
              </w:rPr>
              <w:t>Il mercato del gas e dell'elettricità, le reti transeuropee nel settore dell'energia, infrastrutture, sicurezza dell'approvvigionamento, Appalti pubblici, Fiscalità</w:t>
            </w:r>
          </w:p>
          <w:p w:rsidR="009E56BC" w:rsidRPr="00E4143B" w:rsidRDefault="00A13E9B" w:rsidP="00E4143B">
            <w:pPr>
              <w:numPr>
                <w:ilvl w:val="0"/>
                <w:numId w:val="4"/>
              </w:numPr>
              <w:shd w:val="clear" w:color="auto" w:fill="FFFFFF"/>
              <w:spacing w:before="100" w:beforeAutospacing="1" w:after="0"/>
              <w:jc w:val="left"/>
              <w:rPr>
                <w:rStyle w:val="Collegamentoipertestuale"/>
                <w:rFonts w:cs="Arial"/>
                <w:bCs/>
                <w:color w:val="003965"/>
                <w:sz w:val="18"/>
                <w:szCs w:val="18"/>
              </w:rPr>
            </w:pPr>
            <w:hyperlink r:id="rId30" w:history="1">
              <w:r w:rsidR="009E56BC" w:rsidRPr="00E4143B">
                <w:rPr>
                  <w:rStyle w:val="Collegamentoipertestuale"/>
                  <w:rFonts w:cs="Arial"/>
                  <w:bCs/>
                  <w:color w:val="003965"/>
                  <w:sz w:val="18"/>
                  <w:szCs w:val="18"/>
                </w:rPr>
                <w:t>Efficienza energetica </w:t>
              </w:r>
            </w:hyperlink>
            <w:r w:rsidR="003E635B">
              <w:rPr>
                <w:rStyle w:val="Collegamentoipertestuale"/>
                <w:rFonts w:cs="Arial"/>
                <w:bCs/>
                <w:color w:val="003965"/>
                <w:sz w:val="18"/>
                <w:szCs w:val="18"/>
              </w:rPr>
              <w:t xml:space="preserve">: </w:t>
            </w:r>
            <w:r w:rsidR="009E56BC" w:rsidRPr="00E4143B">
              <w:rPr>
                <w:rStyle w:val="Collegamentoipertestuale"/>
                <w:rFonts w:cs="Arial"/>
                <w:bCs/>
                <w:color w:val="003965"/>
                <w:sz w:val="18"/>
                <w:szCs w:val="18"/>
              </w:rPr>
              <w:t>L'efficienza energetica di prodotti, edifici e servizi</w:t>
            </w:r>
          </w:p>
          <w:p w:rsidR="009E56BC" w:rsidRPr="00E4143B" w:rsidRDefault="00A13E9B" w:rsidP="00E4143B">
            <w:pPr>
              <w:numPr>
                <w:ilvl w:val="0"/>
                <w:numId w:val="4"/>
              </w:numPr>
              <w:shd w:val="clear" w:color="auto" w:fill="FFFFFF"/>
              <w:spacing w:before="100" w:beforeAutospacing="1" w:after="0"/>
              <w:jc w:val="left"/>
              <w:rPr>
                <w:rStyle w:val="Collegamentoipertestuale"/>
                <w:rFonts w:cs="Arial"/>
                <w:bCs/>
                <w:color w:val="003965"/>
                <w:sz w:val="18"/>
                <w:szCs w:val="18"/>
              </w:rPr>
            </w:pPr>
            <w:hyperlink r:id="rId31" w:history="1">
              <w:r w:rsidR="009E56BC" w:rsidRPr="00E4143B">
                <w:rPr>
                  <w:rStyle w:val="Collegamentoipertestuale"/>
                  <w:rFonts w:cs="Arial"/>
                  <w:bCs/>
                  <w:color w:val="003965"/>
                  <w:sz w:val="18"/>
                  <w:szCs w:val="18"/>
                </w:rPr>
                <w:t>Energie rinnovabili </w:t>
              </w:r>
            </w:hyperlink>
            <w:r w:rsidR="003E635B">
              <w:rPr>
                <w:rStyle w:val="Collegamentoipertestuale"/>
                <w:rFonts w:cs="Arial"/>
                <w:bCs/>
                <w:color w:val="003965"/>
                <w:sz w:val="18"/>
                <w:szCs w:val="18"/>
              </w:rPr>
              <w:t>:</w:t>
            </w:r>
            <w:r w:rsidR="009E56BC" w:rsidRPr="00E4143B">
              <w:rPr>
                <w:rStyle w:val="Collegamentoipertestuale"/>
                <w:rFonts w:cs="Arial"/>
                <w:bCs/>
                <w:color w:val="003965"/>
                <w:sz w:val="18"/>
                <w:szCs w:val="18"/>
              </w:rPr>
              <w:t>elettricità, riscaldamento e raffreddamento, biocarburanti</w:t>
            </w:r>
          </w:p>
          <w:p w:rsidR="009E56BC" w:rsidRPr="00E4143B" w:rsidRDefault="00A13E9B" w:rsidP="00E4143B">
            <w:pPr>
              <w:numPr>
                <w:ilvl w:val="0"/>
                <w:numId w:val="4"/>
              </w:numPr>
              <w:shd w:val="clear" w:color="auto" w:fill="FFFFFF"/>
              <w:spacing w:before="100" w:beforeAutospacing="1" w:after="0"/>
              <w:jc w:val="left"/>
              <w:rPr>
                <w:rStyle w:val="Collegamentoipertestuale"/>
                <w:rFonts w:cs="Arial"/>
                <w:bCs/>
                <w:color w:val="003965"/>
                <w:sz w:val="18"/>
                <w:szCs w:val="18"/>
              </w:rPr>
            </w:pPr>
            <w:hyperlink r:id="rId32" w:history="1">
              <w:r w:rsidR="009E56BC" w:rsidRPr="00E4143B">
                <w:rPr>
                  <w:rStyle w:val="Collegamentoipertestuale"/>
                  <w:rFonts w:cs="Arial"/>
                  <w:bCs/>
                  <w:color w:val="003965"/>
                  <w:sz w:val="18"/>
                  <w:szCs w:val="18"/>
                </w:rPr>
                <w:t>L'energia nucleare </w:t>
              </w:r>
            </w:hyperlink>
            <w:r w:rsidR="003E635B">
              <w:rPr>
                <w:rStyle w:val="Collegamentoipertestuale"/>
                <w:rFonts w:cs="Arial"/>
                <w:bCs/>
                <w:color w:val="003965"/>
                <w:sz w:val="18"/>
                <w:szCs w:val="18"/>
              </w:rPr>
              <w:t>:</w:t>
            </w:r>
            <w:r w:rsidR="009E56BC" w:rsidRPr="00E4143B">
              <w:rPr>
                <w:rStyle w:val="Collegamentoipertestuale"/>
                <w:rFonts w:cs="Arial"/>
                <w:bCs/>
                <w:color w:val="003965"/>
                <w:sz w:val="18"/>
                <w:szCs w:val="18"/>
              </w:rPr>
              <w:t>Euratom, Ricerca e tecnologia, Sicurezza, Rifiuti</w:t>
            </w:r>
          </w:p>
          <w:p w:rsidR="009E56BC" w:rsidRDefault="00A13E9B" w:rsidP="00E4143B">
            <w:pPr>
              <w:numPr>
                <w:ilvl w:val="0"/>
                <w:numId w:val="4"/>
              </w:numPr>
              <w:shd w:val="clear" w:color="auto" w:fill="FFFFFF"/>
              <w:spacing w:before="100" w:beforeAutospacing="1" w:after="0"/>
              <w:jc w:val="left"/>
              <w:rPr>
                <w:rStyle w:val="Collegamentoipertestuale"/>
                <w:rFonts w:cs="Arial"/>
                <w:bCs/>
                <w:color w:val="003965"/>
                <w:sz w:val="18"/>
                <w:szCs w:val="18"/>
              </w:rPr>
            </w:pPr>
            <w:hyperlink r:id="rId33" w:history="1">
              <w:r w:rsidR="009E56BC" w:rsidRPr="00E4143B">
                <w:rPr>
                  <w:rStyle w:val="Collegamentoipertestuale"/>
                  <w:rFonts w:cs="Arial"/>
                  <w:bCs/>
                  <w:color w:val="003965"/>
                  <w:sz w:val="18"/>
                  <w:szCs w:val="18"/>
                </w:rPr>
                <w:t>La sicurezza dell'approvvigionamento, dimensione esterna e allargamento </w:t>
              </w:r>
            </w:hyperlink>
            <w:r w:rsidR="009E56BC" w:rsidRPr="00E4143B">
              <w:rPr>
                <w:rStyle w:val="Collegamentoipertestuale"/>
                <w:rFonts w:cs="Arial"/>
                <w:bCs/>
                <w:color w:val="003965"/>
                <w:sz w:val="18"/>
                <w:szCs w:val="18"/>
              </w:rPr>
              <w:br/>
              <w:t>sicurezza degli approvvigionamenti, relazioni esterne, Carta europea dell'energia, Trattato che istituisce la Comunità dell'energia, Allargamento</w:t>
            </w:r>
          </w:p>
          <w:p w:rsidR="00EE7D44" w:rsidRPr="00E4143B" w:rsidRDefault="00A13E9B" w:rsidP="00EE7D44">
            <w:pPr>
              <w:shd w:val="clear" w:color="auto" w:fill="FFFFFF"/>
              <w:spacing w:before="100" w:beforeAutospacing="1" w:after="0"/>
              <w:ind w:left="720"/>
              <w:jc w:val="left"/>
              <w:rPr>
                <w:rStyle w:val="Collegamentoipertestuale"/>
                <w:rFonts w:cs="Arial"/>
                <w:bCs/>
                <w:color w:val="003965"/>
                <w:sz w:val="18"/>
                <w:szCs w:val="18"/>
              </w:rPr>
            </w:pPr>
            <w:r>
              <w:pict>
                <v:rect id="_x0000_i1032" style="width:669.6pt;height:1.8pt" o:hralign="center" o:hrstd="t" o:hr="t" fillcolor="#a0a0a0" stroked="f"/>
              </w:pict>
            </w:r>
          </w:p>
          <w:p w:rsidR="009E56BC" w:rsidRDefault="009E56BC" w:rsidP="009E56BC">
            <w:pPr>
              <w:spacing w:after="0"/>
            </w:pPr>
          </w:p>
          <w:p w:rsidR="00EE7D44" w:rsidRPr="009E56BC" w:rsidRDefault="00EE7D44" w:rsidP="009E56BC">
            <w:pPr>
              <w:spacing w:after="0"/>
            </w:pPr>
          </w:p>
          <w:p w:rsidR="00E4143B" w:rsidRDefault="00EE7D44" w:rsidP="008C2F5F">
            <w:pPr>
              <w:pStyle w:val="Titolo3"/>
              <w:jc w:val="left"/>
            </w:pPr>
            <w:bookmarkStart w:id="42" w:name="_6.3)_Documentazione_della"/>
            <w:bookmarkEnd w:id="42"/>
            <w:r>
              <w:t xml:space="preserve">6.3) Francia. Prezzi delle benzine. Un esempio di chiarezza ed utilità del sito governativo in Francia: </w:t>
            </w:r>
            <w:hyperlink r:id="rId34" w:history="1">
              <w:r w:rsidRPr="00EE7D44">
                <w:rPr>
                  <w:rStyle w:val="Collegamentoipertestuale"/>
                  <w:rFonts w:eastAsiaTheme="minorHAnsi"/>
                  <w:color w:val="C00000"/>
                  <w:sz w:val="22"/>
                  <w:szCs w:val="22"/>
                </w:rPr>
                <w:t>http://www.prix-carburants.gouv.fr/</w:t>
              </w:r>
            </w:hyperlink>
            <w:r>
              <w:t xml:space="preserve"> </w:t>
            </w:r>
          </w:p>
          <w:p w:rsidR="00EE7D44" w:rsidRDefault="00EE7D44" w:rsidP="009E56BC">
            <w:pPr>
              <w:spacing w:after="0"/>
              <w:rPr>
                <w:b/>
              </w:rPr>
            </w:pPr>
          </w:p>
          <w:p w:rsidR="00EE7D44" w:rsidRDefault="00EE7D44" w:rsidP="009E56BC">
            <w:pPr>
              <w:spacing w:after="0"/>
              <w:rPr>
                <w:b/>
              </w:rPr>
            </w:pPr>
          </w:p>
          <w:p w:rsidR="00EE7D44" w:rsidRDefault="00EE7D44" w:rsidP="00EE7D44">
            <w:pPr>
              <w:pStyle w:val="Titolo3"/>
              <w:jc w:val="left"/>
            </w:pPr>
            <w:bookmarkStart w:id="43" w:name="_Toc398278658"/>
            <w:r>
              <w:t>6.4) Documentazione della Commissione Europea / Energia</w:t>
            </w:r>
            <w:bookmarkEnd w:id="43"/>
            <w:r>
              <w:rPr>
                <w:b w:val="0"/>
                <w:noProof/>
                <w:lang w:eastAsia="it-IT"/>
              </w:rPr>
              <w:t xml:space="preserve"> </w:t>
            </w:r>
            <w:r w:rsidR="00E4143B">
              <w:rPr>
                <w:b w:val="0"/>
                <w:noProof/>
                <w:lang w:eastAsia="it-IT"/>
              </w:rPr>
              <w:drawing>
                <wp:anchor distT="0" distB="0" distL="114300" distR="114300" simplePos="0" relativeHeight="251662336" behindDoc="0" locked="0" layoutInCell="1" allowOverlap="1">
                  <wp:simplePos x="0" y="0"/>
                  <wp:positionH relativeFrom="page">
                    <wp:posOffset>-69215</wp:posOffset>
                  </wp:positionH>
                  <wp:positionV relativeFrom="page">
                    <wp:posOffset>417830</wp:posOffset>
                  </wp:positionV>
                  <wp:extent cx="5230495" cy="7937500"/>
                  <wp:effectExtent l="0" t="0" r="8255" b="6350"/>
                  <wp:wrapTopAndBottom/>
                  <wp:docPr id="2" name="Immagine 2" descr="C:\Users\Novelli\Desktop\Benzine UE\Prezzo 1-2009_page1_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Novelli\Desktop\Benzine UE\Prezzo 1-2009_page1_image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30495" cy="793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143B" w:rsidRDefault="00E4143B" w:rsidP="009E56BC">
            <w:pPr>
              <w:spacing w:after="0"/>
              <w:rPr>
                <w:b/>
              </w:rPr>
            </w:pPr>
          </w:p>
          <w:p w:rsidR="00E4143B" w:rsidRDefault="00E4143B" w:rsidP="009E56BC">
            <w:pPr>
              <w:spacing w:after="0"/>
              <w:rPr>
                <w:b/>
              </w:rPr>
            </w:pPr>
          </w:p>
          <w:p w:rsidR="00E4143B" w:rsidRDefault="00E4143B" w:rsidP="009E56BC">
            <w:pPr>
              <w:spacing w:after="0"/>
              <w:rPr>
                <w:b/>
              </w:rPr>
            </w:pPr>
            <w:r>
              <w:rPr>
                <w:b/>
                <w:noProof/>
                <w:lang w:eastAsia="it-IT"/>
              </w:rPr>
              <w:drawing>
                <wp:inline distT="0" distB="0" distL="0" distR="0" wp14:anchorId="176B6B29" wp14:editId="0EFAB919">
                  <wp:extent cx="5313362" cy="8326237"/>
                  <wp:effectExtent l="0" t="0" r="1905" b="0"/>
                  <wp:docPr id="1" name="Immagine 1" descr="C:\Users\Novelli\Desktop\Benzine UE\1-2009 senza tasse_page1_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ovelli\Desktop\Benzine UE\1-2009 senza tasse_page1_image1.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13365" cy="8326242"/>
                          </a:xfrm>
                          <a:prstGeom prst="rect">
                            <a:avLst/>
                          </a:prstGeom>
                          <a:noFill/>
                          <a:ln>
                            <a:noFill/>
                          </a:ln>
                        </pic:spPr>
                      </pic:pic>
                    </a:graphicData>
                  </a:graphic>
                </wp:inline>
              </w:drawing>
            </w:r>
          </w:p>
          <w:p w:rsidR="00E4143B" w:rsidRDefault="00E4143B" w:rsidP="009E56BC">
            <w:pPr>
              <w:spacing w:after="0"/>
              <w:rPr>
                <w:b/>
              </w:rPr>
            </w:pPr>
          </w:p>
          <w:p w:rsidR="00E4143B" w:rsidRDefault="00E4143B" w:rsidP="009E56BC">
            <w:pPr>
              <w:spacing w:after="0"/>
              <w:rPr>
                <w:b/>
              </w:rPr>
            </w:pPr>
          </w:p>
          <w:p w:rsidR="00E4143B" w:rsidRDefault="00E4143B" w:rsidP="009E56BC">
            <w:pPr>
              <w:spacing w:after="0"/>
              <w:rPr>
                <w:b/>
              </w:rPr>
            </w:pPr>
            <w:r>
              <w:rPr>
                <w:b/>
                <w:noProof/>
                <w:lang w:eastAsia="it-IT"/>
              </w:rPr>
              <w:drawing>
                <wp:inline distT="0" distB="0" distL="0" distR="0" wp14:anchorId="439BA636" wp14:editId="45442CF3">
                  <wp:extent cx="6429375" cy="9064625"/>
                  <wp:effectExtent l="0" t="0" r="9525" b="3175"/>
                  <wp:docPr id="3" name="Immagine 3" descr="C:\Users\Novelli\Desktop\Benzine UE\Prezzo 8-2014_page1_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Novelli\Desktop\Benzine UE\Prezzo 8-2014_page1_image1.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429375" cy="9064625"/>
                          </a:xfrm>
                          <a:prstGeom prst="rect">
                            <a:avLst/>
                          </a:prstGeom>
                          <a:noFill/>
                          <a:ln>
                            <a:noFill/>
                          </a:ln>
                        </pic:spPr>
                      </pic:pic>
                    </a:graphicData>
                  </a:graphic>
                </wp:inline>
              </w:drawing>
            </w:r>
          </w:p>
          <w:p w:rsidR="00E4143B" w:rsidRDefault="00E4143B" w:rsidP="009E56BC">
            <w:pPr>
              <w:spacing w:after="0"/>
              <w:rPr>
                <w:b/>
              </w:rPr>
            </w:pPr>
          </w:p>
          <w:p w:rsidR="00E4143B" w:rsidRDefault="00E4143B" w:rsidP="009E56BC">
            <w:pPr>
              <w:spacing w:after="0"/>
              <w:rPr>
                <w:b/>
              </w:rPr>
            </w:pPr>
          </w:p>
          <w:p w:rsidR="00E4143B" w:rsidRDefault="00E4143B" w:rsidP="009E56BC">
            <w:pPr>
              <w:spacing w:after="0"/>
              <w:rPr>
                <w:b/>
              </w:rPr>
            </w:pPr>
          </w:p>
          <w:p w:rsidR="009E56BC" w:rsidRPr="00E4143B" w:rsidRDefault="001F6E93" w:rsidP="009E56BC">
            <w:pPr>
              <w:spacing w:after="0"/>
              <w:rPr>
                <w:b/>
              </w:rPr>
            </w:pPr>
            <w:r w:rsidRPr="00E4143B">
              <w:rPr>
                <w:b/>
              </w:rPr>
              <w:t xml:space="preserve">FONTI </w:t>
            </w:r>
          </w:p>
          <w:p w:rsidR="001F6E93" w:rsidRDefault="001F6E93" w:rsidP="009E56BC">
            <w:pPr>
              <w:spacing w:after="0"/>
            </w:pPr>
          </w:p>
          <w:p w:rsidR="001F6E93" w:rsidRPr="009E56BC" w:rsidRDefault="001F6E93" w:rsidP="001F6E93">
            <w:pPr>
              <w:spacing w:after="0" w:line="240" w:lineRule="auto"/>
            </w:pPr>
            <w:r>
              <w:t>Unione petrolifera:</w:t>
            </w:r>
          </w:p>
          <w:p w:rsidR="001F6E93" w:rsidRDefault="00A13E9B" w:rsidP="001F6E93">
            <w:hyperlink r:id="rId38" w:history="1">
              <w:r w:rsidR="001F6E93" w:rsidRPr="00D11D7A">
                <w:rPr>
                  <w:rStyle w:val="Collegamentoipertestuale"/>
                  <w:rFonts w:eastAsiaTheme="minorHAnsi"/>
                  <w:sz w:val="24"/>
                  <w:szCs w:val="24"/>
                </w:rPr>
                <w:t>http://www.unionepetrolifera.it/it/CMS/pubblicazioni/get/2014/Relazione%20UP%202014.pdf</w:t>
              </w:r>
            </w:hyperlink>
            <w:r w:rsidR="001F6E93">
              <w:t xml:space="preserve"> </w:t>
            </w:r>
          </w:p>
          <w:p w:rsidR="001F6E93" w:rsidRDefault="001F6E93" w:rsidP="001F6E93">
            <w:pPr>
              <w:spacing w:after="0" w:line="240" w:lineRule="auto"/>
            </w:pPr>
            <w:r>
              <w:t>Commissione europea/Energia</w:t>
            </w:r>
          </w:p>
          <w:p w:rsidR="001F6E93" w:rsidRDefault="00A13E9B" w:rsidP="001F6E93">
            <w:hyperlink r:id="rId39" w:history="1">
              <w:r w:rsidR="001F6E93" w:rsidRPr="002D537F">
                <w:rPr>
                  <w:rStyle w:val="Collegamentoipertestuale"/>
                  <w:rFonts w:eastAsiaTheme="minorHAnsi"/>
                  <w:sz w:val="22"/>
                  <w:szCs w:val="22"/>
                </w:rPr>
                <w:t>http://ec.europa.eu/energy/observatory/index_en.htm</w:t>
              </w:r>
            </w:hyperlink>
            <w:r w:rsidR="001F6E93">
              <w:t xml:space="preserve"> </w:t>
            </w:r>
          </w:p>
          <w:p w:rsidR="00B6105C" w:rsidRDefault="00B6105C" w:rsidP="00B6105C">
            <w:pPr>
              <w:spacing w:after="0" w:line="240" w:lineRule="auto"/>
            </w:pPr>
            <w:r>
              <w:t>Commissione europea. PIL pro capite (GDP) tradotto in Capacità di spesa (PPS)</w:t>
            </w:r>
          </w:p>
          <w:p w:rsidR="00B6105C" w:rsidRDefault="00A13E9B" w:rsidP="001F6E93">
            <w:hyperlink r:id="rId40" w:history="1">
              <w:r w:rsidR="00B6105C" w:rsidRPr="002D537F">
                <w:rPr>
                  <w:rStyle w:val="Collegamentoipertestuale"/>
                  <w:rFonts w:eastAsiaTheme="minorHAnsi"/>
                  <w:sz w:val="22"/>
                  <w:szCs w:val="22"/>
                </w:rPr>
                <w:t>http://epp.eurostat.ec.europa.eu/tgm/table.do?tab=table&amp;init=1&amp;plugin=1&amp;language=en&amp;pcode=tec00114</w:t>
              </w:r>
            </w:hyperlink>
            <w:r w:rsidR="00B6105C">
              <w:t xml:space="preserve"> </w:t>
            </w:r>
          </w:p>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spacing w:after="0"/>
            </w:pPr>
          </w:p>
          <w:p w:rsidR="009E56BC" w:rsidRPr="009E56BC" w:rsidRDefault="009E56BC" w:rsidP="009E56BC">
            <w:pPr>
              <w:spacing w:after="0"/>
            </w:pPr>
            <w:r w:rsidRPr="009E56BC">
              <w:t xml:space="preserve">. </w:t>
            </w:r>
          </w:p>
          <w:p w:rsidR="009E56BC" w:rsidRPr="009E56BC" w:rsidRDefault="009E56BC" w:rsidP="009E56BC">
            <w:pPr>
              <w:spacing w:after="0"/>
              <w:ind w:left="459" w:right="601"/>
              <w:rPr>
                <w:rFonts w:eastAsia="SimSun" w:cs="Century Gothic"/>
                <w:color w:val="002060"/>
                <w:sz w:val="28"/>
                <w:szCs w:val="28"/>
                <w:lang w:eastAsia="zh-CN"/>
              </w:rPr>
            </w:pPr>
          </w:p>
          <w:p w:rsidR="009E56BC" w:rsidRPr="009E56BC" w:rsidRDefault="009E56BC" w:rsidP="009E56BC">
            <w:pPr>
              <w:spacing w:after="0"/>
              <w:ind w:left="459" w:right="601"/>
              <w:rPr>
                <w:rFonts w:eastAsia="SimSun" w:cs="Century Gothic"/>
                <w:color w:val="002060"/>
                <w:sz w:val="28"/>
                <w:szCs w:val="28"/>
                <w:lang w:eastAsia="zh-CN"/>
              </w:rPr>
            </w:pPr>
          </w:p>
          <w:p w:rsidR="009E56BC" w:rsidRPr="009E56BC" w:rsidRDefault="009E56BC" w:rsidP="009E56BC">
            <w:pPr>
              <w:keepNext/>
              <w:spacing w:after="0" w:line="240" w:lineRule="auto"/>
              <w:ind w:left="98" w:right="227"/>
              <w:outlineLvl w:val="0"/>
              <w:rPr>
                <w:rFonts w:eastAsia="SimSun" w:cs="Century Gothic"/>
                <w:bCs/>
                <w:color w:val="C00000"/>
                <w:kern w:val="32"/>
                <w:sz w:val="16"/>
                <w:szCs w:val="16"/>
                <w:lang w:eastAsia="zh-CN"/>
              </w:rPr>
            </w:pPr>
          </w:p>
        </w:tc>
        <w:tc>
          <w:tcPr>
            <w:tcW w:w="106" w:type="pct"/>
            <w:vMerge w:val="restart"/>
            <w:tcBorders>
              <w:top w:val="double" w:sz="4" w:space="0" w:color="auto"/>
              <w:left w:val="single" w:sz="4" w:space="0" w:color="auto"/>
              <w:bottom w:val="single" w:sz="4" w:space="0" w:color="F79646" w:themeColor="accent6"/>
              <w:right w:val="double" w:sz="4" w:space="0" w:color="auto"/>
            </w:tcBorders>
            <w:shd w:val="clear" w:color="auto" w:fill="FDE9D9"/>
            <w:vAlign w:val="center"/>
            <w:hideMark/>
          </w:tcPr>
          <w:p w:rsidR="009E56BC" w:rsidRDefault="009E56BC" w:rsidP="00E4143B">
            <w:pPr>
              <w:spacing w:after="0"/>
              <w:ind w:left="-562"/>
              <w:jc w:val="left"/>
              <w:rPr>
                <w:noProof/>
              </w:rPr>
            </w:pPr>
          </w:p>
        </w:tc>
      </w:tr>
      <w:tr w:rsidR="009E56BC" w:rsidTr="00EE7D44">
        <w:trPr>
          <w:trHeight w:val="51"/>
        </w:trPr>
        <w:tc>
          <w:tcPr>
            <w:tcW w:w="106" w:type="pct"/>
            <w:vMerge/>
            <w:tcBorders>
              <w:top w:val="single" w:sz="4" w:space="0" w:color="F79646" w:themeColor="accent6"/>
              <w:left w:val="double" w:sz="4" w:space="0" w:color="auto"/>
              <w:bottom w:val="single" w:sz="4" w:space="0" w:color="F79646" w:themeColor="accent6"/>
              <w:right w:val="single" w:sz="4" w:space="0" w:color="auto"/>
            </w:tcBorders>
            <w:shd w:val="clear" w:color="auto" w:fill="FDE9D9"/>
            <w:vAlign w:val="center"/>
          </w:tcPr>
          <w:p w:rsidR="009E56BC" w:rsidRDefault="009E56BC" w:rsidP="009E56BC">
            <w:pPr>
              <w:spacing w:after="0"/>
              <w:jc w:val="left"/>
              <w:rPr>
                <w:rFonts w:ascii="Trebuchet MS" w:eastAsia="SimSun" w:hAnsi="Trebuchet MS" w:cs="Century Gothic"/>
                <w:bCs/>
                <w:color w:val="C00000"/>
                <w:kern w:val="32"/>
                <w:szCs w:val="30"/>
                <w:lang w:eastAsia="zh-CN"/>
              </w:rPr>
            </w:pPr>
          </w:p>
        </w:tc>
        <w:tc>
          <w:tcPr>
            <w:tcW w:w="4788" w:type="pct"/>
            <w:tcBorders>
              <w:top w:val="single" w:sz="4" w:space="0" w:color="auto"/>
              <w:left w:val="single" w:sz="4" w:space="0" w:color="auto"/>
              <w:bottom w:val="single" w:sz="4" w:space="0" w:color="F79646" w:themeColor="accent6"/>
              <w:right w:val="double" w:sz="4" w:space="0" w:color="auto"/>
            </w:tcBorders>
            <w:shd w:val="clear" w:color="auto" w:fill="FFFFFF" w:themeFill="background1"/>
            <w:vAlign w:val="center"/>
          </w:tcPr>
          <w:p w:rsidR="009E56BC" w:rsidRPr="009E56BC" w:rsidRDefault="009E56BC" w:rsidP="009E56BC">
            <w:pPr>
              <w:keepNext/>
              <w:spacing w:after="0" w:line="240" w:lineRule="auto"/>
              <w:ind w:left="98" w:right="227"/>
              <w:outlineLvl w:val="0"/>
              <w:rPr>
                <w:rFonts w:eastAsia="SimSun" w:cs="Century Gothic"/>
                <w:lang w:eastAsia="zh-CN"/>
              </w:rPr>
            </w:pPr>
          </w:p>
        </w:tc>
        <w:tc>
          <w:tcPr>
            <w:tcW w:w="106" w:type="pct"/>
            <w:vMerge/>
            <w:tcBorders>
              <w:top w:val="double" w:sz="4" w:space="0" w:color="auto"/>
              <w:left w:val="double" w:sz="4" w:space="0" w:color="auto"/>
              <w:bottom w:val="single" w:sz="4" w:space="0" w:color="F79646" w:themeColor="accent6"/>
              <w:right w:val="double" w:sz="4" w:space="0" w:color="auto"/>
            </w:tcBorders>
            <w:shd w:val="clear" w:color="auto" w:fill="FDE9D9"/>
            <w:vAlign w:val="center"/>
            <w:hideMark/>
          </w:tcPr>
          <w:p w:rsidR="009E56BC" w:rsidRDefault="009E56BC" w:rsidP="009E56BC">
            <w:pPr>
              <w:spacing w:after="0"/>
              <w:jc w:val="left"/>
              <w:rPr>
                <w:noProof/>
              </w:rPr>
            </w:pPr>
          </w:p>
        </w:tc>
      </w:tr>
    </w:tbl>
    <w:p w:rsidR="0005497A" w:rsidRDefault="0005497A" w:rsidP="009E56BC">
      <w:pPr>
        <w:spacing w:after="0"/>
        <w:ind w:left="1418"/>
        <w:rPr>
          <w:rStyle w:val="Collegamentoipertestuale"/>
          <w:sz w:val="22"/>
          <w:szCs w:val="22"/>
        </w:rPr>
      </w:pPr>
    </w:p>
    <w:p w:rsidR="00C200C3" w:rsidRDefault="00E4143B" w:rsidP="009E56BC">
      <w:pPr>
        <w:spacing w:after="0"/>
      </w:pPr>
      <w:r>
        <w:rPr>
          <w:noProof/>
          <w:lang w:eastAsia="it-IT"/>
        </w:rPr>
        <w:drawing>
          <wp:inline distT="0" distB="0" distL="0" distR="0">
            <wp:extent cx="5713211" cy="8625600"/>
            <wp:effectExtent l="0" t="0" r="1905" b="4445"/>
            <wp:docPr id="4" name="Immagine 4" descr="C:\Users\Novelli\Desktop\Benzine UE\Prezzo 8-2014 senza tasse_page1_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ovelli\Desktop\Benzine UE\Prezzo 8-2014 senza tasse_page1_image1.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13137" cy="8625489"/>
                    </a:xfrm>
                    <a:prstGeom prst="rect">
                      <a:avLst/>
                    </a:prstGeom>
                    <a:noFill/>
                    <a:ln>
                      <a:noFill/>
                    </a:ln>
                  </pic:spPr>
                </pic:pic>
              </a:graphicData>
            </a:graphic>
          </wp:inline>
        </w:drawing>
      </w:r>
    </w:p>
    <w:sectPr w:rsidR="00C200C3" w:rsidSect="00AA6552">
      <w:footerReference w:type="default" r:id="rId42"/>
      <w:pgSz w:w="11906" w:h="16838"/>
      <w:pgMar w:top="1417"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E9B" w:rsidRDefault="00A13E9B" w:rsidP="00E4143B">
      <w:pPr>
        <w:spacing w:after="0" w:line="240" w:lineRule="auto"/>
      </w:pPr>
      <w:r>
        <w:separator/>
      </w:r>
    </w:p>
  </w:endnote>
  <w:endnote w:type="continuationSeparator" w:id="0">
    <w:p w:rsidR="00A13E9B" w:rsidRDefault="00A13E9B" w:rsidP="00E41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525018"/>
      <w:docPartObj>
        <w:docPartGallery w:val="Page Numbers (Bottom of Page)"/>
        <w:docPartUnique/>
      </w:docPartObj>
    </w:sdtPr>
    <w:sdtEndPr/>
    <w:sdtContent>
      <w:p w:rsidR="00E4143B" w:rsidRDefault="00E4143B">
        <w:pPr>
          <w:pStyle w:val="Pidipagina"/>
          <w:jc w:val="center"/>
        </w:pPr>
        <w:r>
          <w:fldChar w:fldCharType="begin"/>
        </w:r>
        <w:r>
          <w:instrText>PAGE   \* MERGEFORMAT</w:instrText>
        </w:r>
        <w:r>
          <w:fldChar w:fldCharType="separate"/>
        </w:r>
        <w:r w:rsidR="00A13E9B">
          <w:rPr>
            <w:noProof/>
          </w:rPr>
          <w:t>1</w:t>
        </w:r>
        <w:r>
          <w:fldChar w:fldCharType="end"/>
        </w:r>
      </w:p>
    </w:sdtContent>
  </w:sdt>
  <w:p w:rsidR="00E4143B" w:rsidRDefault="00E4143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E9B" w:rsidRDefault="00A13E9B" w:rsidP="00E4143B">
      <w:pPr>
        <w:spacing w:after="0" w:line="240" w:lineRule="auto"/>
      </w:pPr>
      <w:r>
        <w:separator/>
      </w:r>
    </w:p>
  </w:footnote>
  <w:footnote w:type="continuationSeparator" w:id="0">
    <w:p w:rsidR="00A13E9B" w:rsidRDefault="00A13E9B" w:rsidP="00E414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B6CE6"/>
    <w:multiLevelType w:val="multilevel"/>
    <w:tmpl w:val="010EC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DF53D20"/>
    <w:multiLevelType w:val="multilevel"/>
    <w:tmpl w:val="5774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4433D4C"/>
    <w:multiLevelType w:val="multilevel"/>
    <w:tmpl w:val="94424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2"/>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7A"/>
    <w:rsid w:val="0005497A"/>
    <w:rsid w:val="00073741"/>
    <w:rsid w:val="00130235"/>
    <w:rsid w:val="001840B0"/>
    <w:rsid w:val="001A3C40"/>
    <w:rsid w:val="001D07B7"/>
    <w:rsid w:val="001D0D71"/>
    <w:rsid w:val="001F6E93"/>
    <w:rsid w:val="002E4C34"/>
    <w:rsid w:val="00370059"/>
    <w:rsid w:val="00397EC3"/>
    <w:rsid w:val="003E635B"/>
    <w:rsid w:val="00424BEE"/>
    <w:rsid w:val="00476D96"/>
    <w:rsid w:val="004923C9"/>
    <w:rsid w:val="004B0A7D"/>
    <w:rsid w:val="004B75D8"/>
    <w:rsid w:val="004F322C"/>
    <w:rsid w:val="00502E1D"/>
    <w:rsid w:val="005057D6"/>
    <w:rsid w:val="00535F48"/>
    <w:rsid w:val="00597330"/>
    <w:rsid w:val="005F3BF0"/>
    <w:rsid w:val="00632BCB"/>
    <w:rsid w:val="007243CF"/>
    <w:rsid w:val="007339EC"/>
    <w:rsid w:val="00754201"/>
    <w:rsid w:val="007B125E"/>
    <w:rsid w:val="007C4FBF"/>
    <w:rsid w:val="007D7820"/>
    <w:rsid w:val="00823142"/>
    <w:rsid w:val="00873879"/>
    <w:rsid w:val="008C2F5F"/>
    <w:rsid w:val="0094402A"/>
    <w:rsid w:val="0098615F"/>
    <w:rsid w:val="009B46CC"/>
    <w:rsid w:val="009B4EA1"/>
    <w:rsid w:val="009D404B"/>
    <w:rsid w:val="009E56BC"/>
    <w:rsid w:val="00A13E9B"/>
    <w:rsid w:val="00A42182"/>
    <w:rsid w:val="00AA6552"/>
    <w:rsid w:val="00B03057"/>
    <w:rsid w:val="00B35AE5"/>
    <w:rsid w:val="00B6105C"/>
    <w:rsid w:val="00B90F78"/>
    <w:rsid w:val="00B94D01"/>
    <w:rsid w:val="00C200C3"/>
    <w:rsid w:val="00C55771"/>
    <w:rsid w:val="00C76E16"/>
    <w:rsid w:val="00C848D3"/>
    <w:rsid w:val="00D05D56"/>
    <w:rsid w:val="00D07FAE"/>
    <w:rsid w:val="00D136AC"/>
    <w:rsid w:val="00D709E1"/>
    <w:rsid w:val="00D826E8"/>
    <w:rsid w:val="00DB5BBF"/>
    <w:rsid w:val="00E4143B"/>
    <w:rsid w:val="00E612FB"/>
    <w:rsid w:val="00EE7D44"/>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5497A"/>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unhideWhenUsed/>
    <w:rsid w:val="00130235"/>
    <w:pPr>
      <w:ind w:right="-2"/>
    </w:pPr>
  </w:style>
  <w:style w:type="paragraph" w:styleId="Sommario3">
    <w:name w:val="toc 3"/>
    <w:basedOn w:val="Normale"/>
    <w:autoRedefine/>
    <w:uiPriority w:val="39"/>
    <w:unhideWhenUsed/>
    <w:rsid w:val="00D826E8"/>
    <w:pPr>
      <w:tabs>
        <w:tab w:val="left" w:pos="9562"/>
        <w:tab w:val="right" w:leader="dot" w:pos="10196"/>
        <w:tab w:val="left" w:pos="10314"/>
      </w:tabs>
      <w:spacing w:line="240" w:lineRule="auto"/>
      <w:ind w:left="205" w:right="204"/>
    </w:pPr>
    <w:rPr>
      <w:rFonts w:ascii="Times New Roman" w:hAnsi="Times New Roman"/>
      <w:noProof/>
      <w:sz w:val="18"/>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 w:type="paragraph" w:styleId="Sommario2">
    <w:name w:val="toc 2"/>
    <w:basedOn w:val="Normale"/>
    <w:next w:val="Normale"/>
    <w:autoRedefine/>
    <w:uiPriority w:val="39"/>
    <w:unhideWhenUsed/>
    <w:rsid w:val="0005497A"/>
    <w:pPr>
      <w:spacing w:after="100"/>
      <w:ind w:left="220"/>
    </w:pPr>
  </w:style>
  <w:style w:type="paragraph" w:styleId="Titolosommario">
    <w:name w:val="TOC Heading"/>
    <w:basedOn w:val="Titolo1"/>
    <w:next w:val="Normale"/>
    <w:uiPriority w:val="39"/>
    <w:semiHidden/>
    <w:unhideWhenUsed/>
    <w:qFormat/>
    <w:rsid w:val="0005497A"/>
    <w:pPr>
      <w:keepLines/>
      <w:spacing w:before="480" w:after="0"/>
      <w:ind w:left="0" w:right="0"/>
      <w:jc w:val="left"/>
      <w:outlineLvl w:val="9"/>
    </w:pPr>
    <w:rPr>
      <w:rFonts w:asciiTheme="majorHAnsi" w:eastAsiaTheme="majorEastAsia" w:hAnsiTheme="majorHAnsi" w:cstheme="majorBidi"/>
      <w:color w:val="365F91" w:themeColor="accent1" w:themeShade="BF"/>
      <w:sz w:val="28"/>
      <w:szCs w:val="28"/>
    </w:rPr>
  </w:style>
  <w:style w:type="paragraph" w:customStyle="1" w:styleId="stile3">
    <w:name w:val="stile3"/>
    <w:basedOn w:val="Normale"/>
    <w:uiPriority w:val="99"/>
    <w:semiHidden/>
    <w:rsid w:val="0005497A"/>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05497A"/>
  </w:style>
  <w:style w:type="character" w:customStyle="1" w:styleId="sectionheader">
    <w:name w:val="section_header"/>
    <w:basedOn w:val="Carpredefinitoparagrafo"/>
    <w:rsid w:val="0005497A"/>
  </w:style>
  <w:style w:type="character" w:styleId="Enfasicorsivo">
    <w:name w:val="Emphasis"/>
    <w:basedOn w:val="Carpredefinitoparagrafo"/>
    <w:uiPriority w:val="20"/>
    <w:qFormat/>
    <w:rsid w:val="0005497A"/>
    <w:rPr>
      <w:i/>
      <w:iCs w:val="0"/>
    </w:rPr>
  </w:style>
  <w:style w:type="character" w:styleId="Enfasigrassetto">
    <w:name w:val="Strong"/>
    <w:basedOn w:val="Carpredefinitoparagrafo"/>
    <w:uiPriority w:val="22"/>
    <w:qFormat/>
    <w:rsid w:val="0005497A"/>
    <w:rPr>
      <w:b/>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5497A"/>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unhideWhenUsed/>
    <w:rsid w:val="00130235"/>
    <w:pPr>
      <w:ind w:right="-2"/>
    </w:pPr>
  </w:style>
  <w:style w:type="paragraph" w:styleId="Sommario3">
    <w:name w:val="toc 3"/>
    <w:basedOn w:val="Normale"/>
    <w:autoRedefine/>
    <w:uiPriority w:val="39"/>
    <w:unhideWhenUsed/>
    <w:rsid w:val="00D826E8"/>
    <w:pPr>
      <w:tabs>
        <w:tab w:val="left" w:pos="9562"/>
        <w:tab w:val="right" w:leader="dot" w:pos="10196"/>
        <w:tab w:val="left" w:pos="10314"/>
      </w:tabs>
      <w:spacing w:line="240" w:lineRule="auto"/>
      <w:ind w:left="205" w:right="204"/>
    </w:pPr>
    <w:rPr>
      <w:rFonts w:ascii="Times New Roman" w:hAnsi="Times New Roman"/>
      <w:noProof/>
      <w:sz w:val="18"/>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 w:type="paragraph" w:styleId="Sommario2">
    <w:name w:val="toc 2"/>
    <w:basedOn w:val="Normale"/>
    <w:next w:val="Normale"/>
    <w:autoRedefine/>
    <w:uiPriority w:val="39"/>
    <w:unhideWhenUsed/>
    <w:rsid w:val="0005497A"/>
    <w:pPr>
      <w:spacing w:after="100"/>
      <w:ind w:left="220"/>
    </w:pPr>
  </w:style>
  <w:style w:type="paragraph" w:styleId="Titolosommario">
    <w:name w:val="TOC Heading"/>
    <w:basedOn w:val="Titolo1"/>
    <w:next w:val="Normale"/>
    <w:uiPriority w:val="39"/>
    <w:semiHidden/>
    <w:unhideWhenUsed/>
    <w:qFormat/>
    <w:rsid w:val="0005497A"/>
    <w:pPr>
      <w:keepLines/>
      <w:spacing w:before="480" w:after="0"/>
      <w:ind w:left="0" w:right="0"/>
      <w:jc w:val="left"/>
      <w:outlineLvl w:val="9"/>
    </w:pPr>
    <w:rPr>
      <w:rFonts w:asciiTheme="majorHAnsi" w:eastAsiaTheme="majorEastAsia" w:hAnsiTheme="majorHAnsi" w:cstheme="majorBidi"/>
      <w:color w:val="365F91" w:themeColor="accent1" w:themeShade="BF"/>
      <w:sz w:val="28"/>
      <w:szCs w:val="28"/>
    </w:rPr>
  </w:style>
  <w:style w:type="paragraph" w:customStyle="1" w:styleId="stile3">
    <w:name w:val="stile3"/>
    <w:basedOn w:val="Normale"/>
    <w:uiPriority w:val="99"/>
    <w:semiHidden/>
    <w:rsid w:val="0005497A"/>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05497A"/>
  </w:style>
  <w:style w:type="character" w:customStyle="1" w:styleId="sectionheader">
    <w:name w:val="section_header"/>
    <w:basedOn w:val="Carpredefinitoparagrafo"/>
    <w:rsid w:val="0005497A"/>
  </w:style>
  <w:style w:type="character" w:styleId="Enfasicorsivo">
    <w:name w:val="Emphasis"/>
    <w:basedOn w:val="Carpredefinitoparagrafo"/>
    <w:uiPriority w:val="20"/>
    <w:qFormat/>
    <w:rsid w:val="0005497A"/>
    <w:rPr>
      <w:i/>
      <w:iCs w:val="0"/>
    </w:rPr>
  </w:style>
  <w:style w:type="character" w:styleId="Enfasigrassetto">
    <w:name w:val="Strong"/>
    <w:basedOn w:val="Carpredefinitoparagrafo"/>
    <w:uiPriority w:val="22"/>
    <w:qFormat/>
    <w:rsid w:val="0005497A"/>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21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t.wikipedia.org/wiki/1997" TargetMode="External"/><Relationship Id="rId18" Type="http://schemas.openxmlformats.org/officeDocument/2006/relationships/image" Target="media/image2.jpg"/><Relationship Id="rId26" Type="http://schemas.openxmlformats.org/officeDocument/2006/relationships/hyperlink" Target="https://play.google.com/store/apps/details?id=it.gov.mise.ossprezziapp" TargetMode="External"/><Relationship Id="rId39" Type="http://schemas.openxmlformats.org/officeDocument/2006/relationships/hyperlink" Target="http://ec.europa.eu/energy/observatory/index_en.htm" TargetMode="External"/><Relationship Id="rId3" Type="http://schemas.openxmlformats.org/officeDocument/2006/relationships/styles" Target="styles.xml"/><Relationship Id="rId21" Type="http://schemas.openxmlformats.org/officeDocument/2006/relationships/hyperlink" Target="http://www.sviluppoeconomico.gov.it/images/stories/documenti/COME_SI_USA_app.pdf" TargetMode="External"/><Relationship Id="rId34" Type="http://schemas.openxmlformats.org/officeDocument/2006/relationships/hyperlink" Target="http://www.prix-carburants.gouv.fr/"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t.wikipedia.org/wiki/1976" TargetMode="External"/><Relationship Id="rId17" Type="http://schemas.openxmlformats.org/officeDocument/2006/relationships/hyperlink" Target="https://it.wikipedia.org/wiki/Benzina" TargetMode="External"/><Relationship Id="rId25" Type="http://schemas.openxmlformats.org/officeDocument/2006/relationships/hyperlink" Target="http://www.sviluppoeconomico.gov.it/images/stories/documenti/Cosa_fare_consumatore.pdf" TargetMode="External"/><Relationship Id="rId33" Type="http://schemas.openxmlformats.org/officeDocument/2006/relationships/hyperlink" Target="http://europa.eu/legislation_summaries/energy/external_dimension_enlargement/index_en.htm" TargetMode="External"/><Relationship Id="rId38" Type="http://schemas.openxmlformats.org/officeDocument/2006/relationships/hyperlink" Target="http://www.unionepetrolifera.it/it/CMS/pubblicazioni/get/2014/Relazione%20UP%202014.pdf" TargetMode="External"/><Relationship Id="rId2" Type="http://schemas.openxmlformats.org/officeDocument/2006/relationships/numbering" Target="numbering.xml"/><Relationship Id="rId16" Type="http://schemas.openxmlformats.org/officeDocument/2006/relationships/hyperlink" Target="https://it.wikipedia.org/wiki/Gas" TargetMode="External"/><Relationship Id="rId20" Type="http://schemas.openxmlformats.org/officeDocument/2006/relationships/hyperlink" Target="http://www.sviluppoeconomico.gov.it/images/stories/documenti/OsservaPrezzi_carburanti_presentazione.pdf" TargetMode="External"/><Relationship Id="rId29" Type="http://schemas.openxmlformats.org/officeDocument/2006/relationships/hyperlink" Target="http://europa.eu/legislation_summaries/energy/internal_energy_market/index_en.htm"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t.wikipedia.org/wiki/Tassa" TargetMode="External"/><Relationship Id="rId24" Type="http://schemas.openxmlformats.org/officeDocument/2006/relationships/hyperlink" Target="http://www.sviluppoeconomico.gov.it/images/stories/documenti/SCHEDA_base_giuridica_app.pdf" TargetMode="External"/><Relationship Id="rId32" Type="http://schemas.openxmlformats.org/officeDocument/2006/relationships/hyperlink" Target="http://europa.eu/legislation_summaries/energy/nuclear_energy/index_en.htm" TargetMode="External"/><Relationship Id="rId37" Type="http://schemas.openxmlformats.org/officeDocument/2006/relationships/image" Target="media/image6.png"/><Relationship Id="rId40" Type="http://schemas.openxmlformats.org/officeDocument/2006/relationships/hyperlink" Target="http://epp.eurostat.ec.europa.eu/tgm/table.do?tab=table&amp;init=1&amp;plugin=1&amp;language=en&amp;pcode=tec00114" TargetMode="External"/><Relationship Id="rId5" Type="http://schemas.openxmlformats.org/officeDocument/2006/relationships/settings" Target="settings.xml"/><Relationship Id="rId15" Type="http://schemas.openxmlformats.org/officeDocument/2006/relationships/hyperlink" Target="https://it.wikipedia.org/wiki/Motore_diesel" TargetMode="External"/><Relationship Id="rId23" Type="http://schemas.openxmlformats.org/officeDocument/2006/relationships/hyperlink" Target="http://www.sviluppoeconomico.gov.it/images/stories/documenti/OPC_in_numeri.pdf" TargetMode="External"/><Relationship Id="rId28" Type="http://schemas.openxmlformats.org/officeDocument/2006/relationships/hyperlink" Target="http://europa.eu/legislation_summaries/energy/european_energy_policy/index_en.htm" TargetMode="External"/><Relationship Id="rId36" Type="http://schemas.openxmlformats.org/officeDocument/2006/relationships/image" Target="media/image5.png"/><Relationship Id="rId10" Type="http://schemas.openxmlformats.org/officeDocument/2006/relationships/image" Target="media/image1.jpg"/><Relationship Id="rId19" Type="http://schemas.openxmlformats.org/officeDocument/2006/relationships/image" Target="media/image3.jpg"/><Relationship Id="rId31" Type="http://schemas.openxmlformats.org/officeDocument/2006/relationships/hyperlink" Target="http://europa.eu/legislation_summaries/energy/renewable_energy/index_en.htm"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rix-carburants.gouv.fr/" TargetMode="External"/><Relationship Id="rId14" Type="http://schemas.openxmlformats.org/officeDocument/2006/relationships/hyperlink" Target="https://it.wikipedia.org/wiki/Automobili" TargetMode="External"/><Relationship Id="rId22" Type="http://schemas.openxmlformats.org/officeDocument/2006/relationships/hyperlink" Target="http://www.sviluppoeconomico.gov.it/images/stories/documenti/piattaforma_tecnologica_app.pdf" TargetMode="External"/><Relationship Id="rId27" Type="http://schemas.openxmlformats.org/officeDocument/2006/relationships/hyperlink" Target="https://itunes.apple.com/it/app/osservaprezzi/id875282445?mt=8" TargetMode="External"/><Relationship Id="rId30" Type="http://schemas.openxmlformats.org/officeDocument/2006/relationships/hyperlink" Target="http://europa.eu/legislation_summaries/energy/energy_efficiency/index_en.htm" TargetMode="External"/><Relationship Id="rId35" Type="http://schemas.openxmlformats.org/officeDocument/2006/relationships/image" Target="media/image4.png"/><Relationship Id="rId43"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6FBC9-47BC-4415-8BB7-BACF6A337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21</Pages>
  <Words>4197</Words>
  <Characters>23926</Characters>
  <Application>Microsoft Office Word</Application>
  <DocSecurity>0</DocSecurity>
  <Lines>199</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Novelli</dc:creator>
  <cp:lastModifiedBy>Mauro Novelli</cp:lastModifiedBy>
  <cp:revision>21</cp:revision>
  <dcterms:created xsi:type="dcterms:W3CDTF">2014-09-11T10:47:00Z</dcterms:created>
  <dcterms:modified xsi:type="dcterms:W3CDTF">2014-09-13T14:50:00Z</dcterms:modified>
</cp:coreProperties>
</file>