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C43" w:rsidRDefault="005B6C43" w:rsidP="005B6C43">
      <w:pPr>
        <w:pStyle w:val="Nessunaspaziatura"/>
        <w:ind w:left="142"/>
        <w:jc w:val="center"/>
      </w:pPr>
      <w:r>
        <w:t>COMUNICATO STAMPA</w:t>
      </w:r>
    </w:p>
    <w:p w:rsidR="005B6C43" w:rsidRDefault="005B6C43" w:rsidP="005B6C43">
      <w:pPr>
        <w:pStyle w:val="Nessunaspaziatura"/>
        <w:ind w:left="142"/>
      </w:pPr>
    </w:p>
    <w:p w:rsidR="005B6C43" w:rsidRDefault="005B6C43" w:rsidP="005B6C43">
      <w:pPr>
        <w:pStyle w:val="Nessunaspaziatura"/>
        <w:ind w:left="142"/>
      </w:pPr>
      <w:bookmarkStart w:id="0" w:name="_GoBack"/>
      <w:r>
        <w:t xml:space="preserve">DEBITO PUBBLICO: CON RENZI UN RECORD CHE GRAVA PER 36.013 EURO SULLE SPALLE DI OGNI CITTADINO, </w:t>
      </w:r>
      <w:bookmarkEnd w:id="0"/>
      <w:r>
        <w:t>BEN 658 EURO DI TASSA OCCULTA NEL BIMESTRE MARZO APRILE SUI GIOVANI PRIVI DI SPERANZA E DI FUTURO. CON GOVERNO LETTA AUMENTATO DI 6,5 MLD MESE,MEGLIO DI MONTI (7,5 MILIARDI MESE), PEGGIO DI BERLUSCONI (6,2 MLD MESE).RENZI AUMENTA DEBITO DI 36,1 MLD IN DUE MESI,RITMO RECORD DI 19,6 MLD MESE. VENDERE ORO E RISERVE DI BANKITALIA PER USCIRE DAL GUADO</w:t>
      </w:r>
    </w:p>
    <w:p w:rsidR="005B6C43" w:rsidRDefault="005B6C43" w:rsidP="005B6C43">
      <w:pPr>
        <w:spacing w:after="0"/>
        <w:ind w:left="142"/>
        <w:jc w:val="center"/>
        <w:rPr>
          <w:b/>
          <w:bCs/>
          <w:sz w:val="24"/>
          <w:szCs w:val="24"/>
        </w:rPr>
      </w:pPr>
    </w:p>
    <w:p w:rsidR="005B6C43" w:rsidRDefault="005B6C43" w:rsidP="005B6C43">
      <w:pPr>
        <w:spacing w:after="0"/>
        <w:ind w:left="142"/>
        <w:jc w:val="center"/>
        <w:rPr>
          <w:b/>
          <w:bCs/>
          <w:sz w:val="24"/>
          <w:szCs w:val="24"/>
        </w:rPr>
      </w:pPr>
      <w:r>
        <w:rPr>
          <w:b/>
          <w:bCs/>
          <w:sz w:val="24"/>
          <w:szCs w:val="24"/>
        </w:rPr>
        <w:t>DEBITO PUBBLICO E GOVERNI DELLA REPUBBLICA</w:t>
      </w:r>
    </w:p>
    <w:p w:rsidR="005B6C43" w:rsidRDefault="005B6C43" w:rsidP="005B6C43">
      <w:pPr>
        <w:ind w:left="142"/>
        <w:jc w:val="center"/>
      </w:pPr>
      <w:r>
        <w:t>Fonte Bankitalia SBS “Finanza pubblica” n° 33 del 13-6-2014. Nostre elaborazioni</w:t>
      </w:r>
    </w:p>
    <w:tbl>
      <w:tblPr>
        <w:tblW w:w="5000" w:type="pct"/>
        <w:jc w:val="center"/>
        <w:tblCellMar>
          <w:left w:w="0" w:type="dxa"/>
          <w:right w:w="0" w:type="dxa"/>
        </w:tblCellMar>
        <w:tblLook w:val="04A0" w:firstRow="1" w:lastRow="0" w:firstColumn="1" w:lastColumn="0" w:noHBand="0" w:noVBand="1"/>
      </w:tblPr>
      <w:tblGrid>
        <w:gridCol w:w="3587"/>
        <w:gridCol w:w="1393"/>
        <w:gridCol w:w="2402"/>
        <w:gridCol w:w="1305"/>
        <w:gridCol w:w="1167"/>
      </w:tblGrid>
      <w:tr w:rsidR="005B6C43" w:rsidTr="005B6C43">
        <w:trPr>
          <w:trHeight w:val="483"/>
          <w:jc w:val="center"/>
        </w:trPr>
        <w:tc>
          <w:tcPr>
            <w:tcW w:w="182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5B6C43" w:rsidRDefault="005B6C43" w:rsidP="005B6C43">
            <w:pPr>
              <w:spacing w:after="0" w:line="240" w:lineRule="auto"/>
              <w:ind w:left="142"/>
              <w:jc w:val="center"/>
              <w:rPr>
                <w:rFonts w:ascii="Times New Roman" w:hAnsi="Times New Roman"/>
                <w:b/>
                <w:bCs/>
                <w:sz w:val="16"/>
                <w:szCs w:val="16"/>
              </w:rPr>
            </w:pPr>
          </w:p>
        </w:tc>
        <w:tc>
          <w:tcPr>
            <w:tcW w:w="70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after="0" w:line="240" w:lineRule="auto"/>
              <w:ind w:left="142"/>
              <w:jc w:val="center"/>
              <w:rPr>
                <w:rFonts w:ascii="Times New Roman" w:hAnsi="Times New Roman"/>
                <w:sz w:val="16"/>
                <w:szCs w:val="16"/>
              </w:rPr>
            </w:pPr>
            <w:r>
              <w:rPr>
                <w:b/>
                <w:bCs/>
                <w:sz w:val="16"/>
                <w:szCs w:val="16"/>
              </w:rPr>
              <w:t>DEBITO PUBBLICO</w:t>
            </w:r>
          </w:p>
          <w:p w:rsidR="005B6C43" w:rsidRDefault="005B6C43" w:rsidP="005B6C43">
            <w:pPr>
              <w:spacing w:after="0" w:line="240" w:lineRule="auto"/>
              <w:ind w:left="142"/>
              <w:jc w:val="center"/>
              <w:rPr>
                <w:rFonts w:ascii="Times New Roman" w:hAnsi="Times New Roman"/>
                <w:sz w:val="16"/>
                <w:szCs w:val="16"/>
              </w:rPr>
            </w:pPr>
            <w:r>
              <w:rPr>
                <w:b/>
                <w:bCs/>
                <w:sz w:val="16"/>
                <w:szCs w:val="16"/>
              </w:rPr>
              <w:t>In miliardi di €</w:t>
            </w:r>
          </w:p>
        </w:tc>
        <w:tc>
          <w:tcPr>
            <w:tcW w:w="121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after="0" w:line="240" w:lineRule="auto"/>
              <w:ind w:left="142"/>
              <w:jc w:val="center"/>
              <w:rPr>
                <w:rFonts w:ascii="Times New Roman" w:hAnsi="Times New Roman"/>
                <w:sz w:val="16"/>
                <w:szCs w:val="16"/>
              </w:rPr>
            </w:pPr>
            <w:r>
              <w:rPr>
                <w:b/>
                <w:bCs/>
                <w:sz w:val="16"/>
                <w:szCs w:val="16"/>
              </w:rPr>
              <w:t>AUMENTO del DEBITO in miliardi (in parentesi l’aumento medio mensile)</w:t>
            </w:r>
          </w:p>
        </w:tc>
        <w:tc>
          <w:tcPr>
            <w:tcW w:w="66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after="0" w:line="240" w:lineRule="auto"/>
              <w:ind w:left="142"/>
              <w:jc w:val="center"/>
              <w:rPr>
                <w:rFonts w:ascii="Times New Roman" w:hAnsi="Times New Roman"/>
                <w:b/>
                <w:bCs/>
                <w:sz w:val="16"/>
                <w:szCs w:val="16"/>
              </w:rPr>
            </w:pPr>
            <w:r>
              <w:rPr>
                <w:b/>
                <w:bCs/>
                <w:sz w:val="16"/>
                <w:szCs w:val="16"/>
              </w:rPr>
              <w:t>Debito pro capite a fine mandato in €</w:t>
            </w:r>
          </w:p>
        </w:tc>
        <w:tc>
          <w:tcPr>
            <w:tcW w:w="592"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after="0" w:line="240" w:lineRule="auto"/>
              <w:ind w:left="142"/>
              <w:jc w:val="center"/>
              <w:rPr>
                <w:rFonts w:ascii="Times New Roman" w:hAnsi="Times New Roman"/>
                <w:b/>
                <w:bCs/>
                <w:sz w:val="16"/>
                <w:szCs w:val="16"/>
              </w:rPr>
            </w:pPr>
            <w:r>
              <w:rPr>
                <w:b/>
                <w:bCs/>
                <w:sz w:val="16"/>
                <w:szCs w:val="16"/>
              </w:rPr>
              <w:t>Maggior debito pro capite in €</w:t>
            </w:r>
          </w:p>
        </w:tc>
      </w:tr>
      <w:tr w:rsidR="005B6C43" w:rsidTr="005B6C43">
        <w:trPr>
          <w:jc w:val="center"/>
        </w:trPr>
        <w:tc>
          <w:tcPr>
            <w:tcW w:w="18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b/>
                <w:bCs/>
                <w:sz w:val="8"/>
                <w:szCs w:val="8"/>
              </w:rPr>
            </w:pPr>
            <w:r>
              <w:rPr>
                <w:b/>
                <w:bCs/>
                <w:sz w:val="8"/>
                <w:szCs w:val="8"/>
              </w:rPr>
              <w:t> </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8"/>
                <w:szCs w:val="8"/>
              </w:rPr>
            </w:pPr>
            <w:r>
              <w:rPr>
                <w:sz w:val="8"/>
                <w:szCs w:val="8"/>
              </w:rPr>
              <w:t> </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8"/>
                <w:szCs w:val="8"/>
              </w:rPr>
            </w:pPr>
            <w:r>
              <w:rPr>
                <w:sz w:val="8"/>
                <w:szCs w:val="8"/>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8"/>
                <w:szCs w:val="8"/>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8"/>
                <w:szCs w:val="8"/>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b/>
                <w:bCs/>
                <w:sz w:val="16"/>
                <w:szCs w:val="16"/>
              </w:rPr>
            </w:pPr>
            <w:r>
              <w:rPr>
                <w:b/>
                <w:bCs/>
                <w:sz w:val="16"/>
                <w:szCs w:val="16"/>
              </w:rPr>
              <w:t>GOVERNO BERLUSCONI (2008 /11-2011) (42 mesi)</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 </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b/>
                <w:bCs/>
                <w:sz w:val="16"/>
                <w:szCs w:val="16"/>
              </w:rPr>
            </w:pPr>
            <w:r>
              <w:rPr>
                <w:b/>
                <w:bCs/>
                <w:sz w:val="16"/>
                <w:szCs w:val="16"/>
              </w:rPr>
              <w:t>Debito maggio 2008</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1.654,737</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b/>
                <w:bCs/>
                <w:sz w:val="16"/>
                <w:szCs w:val="16"/>
              </w:rPr>
            </w:pPr>
            <w:r>
              <w:rPr>
                <w:b/>
                <w:bCs/>
                <w:sz w:val="16"/>
                <w:szCs w:val="16"/>
              </w:rPr>
              <w:t xml:space="preserve">Debito 31 ottobre 2011   </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1.916,402</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sz w:val="16"/>
                <w:szCs w:val="16"/>
              </w:rPr>
            </w:pPr>
            <w:r>
              <w:rPr>
                <w:sz w:val="16"/>
                <w:szCs w:val="16"/>
              </w:rPr>
              <w:t>+261,665  (</w:t>
            </w:r>
            <w:r>
              <w:rPr>
                <w:b/>
                <w:bCs/>
                <w:sz w:val="16"/>
                <w:szCs w:val="16"/>
              </w:rPr>
              <w:t>6,230 mld/mese</w:t>
            </w:r>
            <w:r>
              <w:rPr>
                <w:sz w:val="16"/>
                <w:szCs w:val="16"/>
              </w:rPr>
              <w:t>)</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rFonts w:ascii="Times New Roman" w:hAnsi="Times New Roman"/>
                <w:sz w:val="16"/>
                <w:szCs w:val="16"/>
              </w:rPr>
            </w:pPr>
            <w:r>
              <w:rPr>
                <w:sz w:val="16"/>
                <w:szCs w:val="16"/>
              </w:rPr>
              <w:t>32.154</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rFonts w:ascii="Times New Roman" w:hAnsi="Times New Roman"/>
                <w:sz w:val="16"/>
                <w:szCs w:val="16"/>
              </w:rPr>
            </w:pPr>
            <w:r>
              <w:rPr>
                <w:sz w:val="16"/>
                <w:szCs w:val="16"/>
              </w:rPr>
              <w:t>+4.390</w:t>
            </w:r>
          </w:p>
        </w:tc>
      </w:tr>
      <w:tr w:rsidR="005B6C43" w:rsidTr="005B6C43">
        <w:trPr>
          <w:jc w:val="center"/>
        </w:trPr>
        <w:tc>
          <w:tcPr>
            <w:tcW w:w="182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b/>
                <w:bCs/>
                <w:color w:val="FF0000"/>
                <w:sz w:val="8"/>
                <w:szCs w:val="8"/>
              </w:rPr>
            </w:pPr>
            <w:r>
              <w:rPr>
                <w:b/>
                <w:bCs/>
                <w:color w:val="FF0000"/>
                <w:sz w:val="8"/>
                <w:szCs w:val="8"/>
              </w:rPr>
              <w:t> </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color w:val="FF0000"/>
                <w:sz w:val="8"/>
                <w:szCs w:val="8"/>
              </w:rPr>
            </w:pPr>
            <w:r>
              <w:rPr>
                <w:color w:val="FF0000"/>
                <w:sz w:val="8"/>
                <w:szCs w:val="8"/>
              </w:rPr>
              <w:t> </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rPr>
                <w:rFonts w:ascii="Times New Roman" w:hAnsi="Times New Roman"/>
                <w:color w:val="FF0000"/>
                <w:sz w:val="8"/>
                <w:szCs w:val="8"/>
              </w:rPr>
            </w:pPr>
            <w:r>
              <w:rPr>
                <w:color w:val="FF0000"/>
                <w:sz w:val="8"/>
                <w:szCs w:val="8"/>
              </w:rPr>
              <w:t> </w:t>
            </w: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color w:val="FF0000"/>
                <w:sz w:val="8"/>
                <w:szCs w:val="8"/>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color w:val="FF0000"/>
                <w:sz w:val="8"/>
                <w:szCs w:val="8"/>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GOVERNO MONTI  (dal 16-11-2012) (17,5 mesi)</w:t>
            </w:r>
          </w:p>
        </w:tc>
        <w:tc>
          <w:tcPr>
            <w:tcW w:w="707"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Times New Roman" w:hAnsi="Times New Roman"/>
                <w:sz w:val="16"/>
                <w:szCs w:val="16"/>
                <w:lang w:eastAsia="it-IT"/>
              </w:rPr>
            </w:pP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Times New Roman" w:hAnsi="Times New Roman"/>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Times New Roman" w:hAnsi="Times New Roman"/>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Debito novembre 2011</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1.912,389</w:t>
            </w: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Century Gothic" w:hAnsi="Century Gothic"/>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rFonts w:ascii="Century Gothic" w:hAnsi="Century Gothic"/>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AF1DD"/>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 xml:space="preserve">Debito aprile 2013 </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2.041,293</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r>
              <w:rPr>
                <w:rFonts w:ascii="Century Gothic" w:hAnsi="Century Gothic"/>
                <w:sz w:val="16"/>
                <w:szCs w:val="16"/>
                <w:lang w:eastAsia="it-IT"/>
              </w:rPr>
              <w:t xml:space="preserve">+128,904 </w:t>
            </w:r>
            <w:r>
              <w:rPr>
                <w:b/>
                <w:bCs/>
                <w:sz w:val="16"/>
                <w:szCs w:val="16"/>
              </w:rPr>
              <w:t>(circa 7,5 mld/mese)</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34.250</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+ 2.163</w:t>
            </w:r>
          </w:p>
        </w:tc>
      </w:tr>
      <w:tr w:rsidR="005B6C43" w:rsidTr="005B6C43">
        <w:trPr>
          <w:trHeight w:val="56"/>
          <w:jc w:val="center"/>
        </w:trPr>
        <w:tc>
          <w:tcPr>
            <w:tcW w:w="182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after="0" w:line="240" w:lineRule="auto"/>
              <w:ind w:left="142"/>
              <w:rPr>
                <w:b/>
                <w:bCs/>
                <w:sz w:val="2"/>
                <w:szCs w:val="2"/>
                <w:lang w:eastAsia="it-IT"/>
              </w:rPr>
            </w:pP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Century Gothic" w:hAnsi="Century Gothic"/>
                <w:sz w:val="8"/>
                <w:szCs w:val="8"/>
                <w:lang w:eastAsia="it-IT"/>
              </w:rPr>
            </w:pPr>
          </w:p>
        </w:tc>
        <w:tc>
          <w:tcPr>
            <w:tcW w:w="121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rPr>
                <w:rFonts w:ascii="Century Gothic" w:hAnsi="Century Gothic"/>
                <w:sz w:val="8"/>
                <w:szCs w:val="8"/>
                <w:lang w:eastAsia="it-IT"/>
              </w:rPr>
            </w:pPr>
          </w:p>
        </w:tc>
        <w:tc>
          <w:tcPr>
            <w:tcW w:w="6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ind w:left="142"/>
              <w:jc w:val="right"/>
              <w:rPr>
                <w:sz w:val="2"/>
                <w:szCs w:val="2"/>
              </w:rPr>
            </w:pPr>
          </w:p>
        </w:tc>
        <w:tc>
          <w:tcPr>
            <w:tcW w:w="5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ind w:left="142"/>
              <w:jc w:val="right"/>
              <w:rPr>
                <w:sz w:val="6"/>
                <w:szCs w:val="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GOVERNO LETTA  (da fine aprile 2013)  (10 mesi)</w:t>
            </w:r>
          </w:p>
        </w:tc>
        <w:tc>
          <w:tcPr>
            <w:tcW w:w="707"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Debito aprile 2013</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2.041,293</w:t>
            </w: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jc w:val="center"/>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E5DFEC"/>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Debito Febbraio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2.107,157</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r>
              <w:rPr>
                <w:rFonts w:ascii="Century Gothic" w:hAnsi="Century Gothic"/>
                <w:sz w:val="16"/>
                <w:szCs w:val="16"/>
                <w:lang w:eastAsia="it-IT"/>
              </w:rPr>
              <w:t xml:space="preserve">+ 65,864 mld </w:t>
            </w:r>
            <w:r>
              <w:rPr>
                <w:rFonts w:ascii="Century Gothic" w:hAnsi="Century Gothic"/>
                <w:b/>
                <w:bCs/>
                <w:sz w:val="16"/>
                <w:szCs w:val="16"/>
                <w:lang w:eastAsia="it-IT"/>
              </w:rPr>
              <w:t>(6,5  mld/mese)</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35.354</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+ 1.105</w:t>
            </w: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line="240" w:lineRule="auto"/>
              <w:ind w:left="142"/>
              <w:rPr>
                <w:b/>
                <w:bCs/>
                <w:sz w:val="8"/>
                <w:szCs w:val="8"/>
                <w:lang w:eastAsia="it-IT"/>
              </w:rPr>
            </w:pPr>
          </w:p>
        </w:tc>
        <w:tc>
          <w:tcPr>
            <w:tcW w:w="70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Century Gothic" w:hAnsi="Century Gothic"/>
                <w:sz w:val="8"/>
                <w:szCs w:val="8"/>
                <w:lang w:eastAsia="it-IT"/>
              </w:rPr>
            </w:pPr>
          </w:p>
        </w:tc>
        <w:tc>
          <w:tcPr>
            <w:tcW w:w="121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rPr>
                <w:rFonts w:ascii="Century Gothic" w:hAnsi="Century Gothic"/>
                <w:sz w:val="8"/>
                <w:szCs w:val="8"/>
                <w:lang w:eastAsia="it-IT"/>
              </w:rPr>
            </w:pPr>
          </w:p>
        </w:tc>
        <w:tc>
          <w:tcPr>
            <w:tcW w:w="6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ind w:left="142"/>
              <w:jc w:val="right"/>
              <w:rPr>
                <w:sz w:val="8"/>
                <w:szCs w:val="8"/>
              </w:rPr>
            </w:pPr>
          </w:p>
        </w:tc>
        <w:tc>
          <w:tcPr>
            <w:tcW w:w="59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5B6C43" w:rsidRDefault="005B6C43" w:rsidP="005B6C43">
            <w:pPr>
              <w:spacing w:before="100" w:beforeAutospacing="1" w:after="100" w:afterAutospacing="1"/>
              <w:ind w:left="142"/>
              <w:jc w:val="right"/>
              <w:rPr>
                <w:sz w:val="8"/>
                <w:szCs w:val="8"/>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GOVERNO RENZI (da fine febbraio 2014) (1 mese)</w:t>
            </w:r>
          </w:p>
        </w:tc>
        <w:tc>
          <w:tcPr>
            <w:tcW w:w="707"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Debito febbraio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2.107,157</w:t>
            </w:r>
          </w:p>
        </w:tc>
        <w:tc>
          <w:tcPr>
            <w:tcW w:w="1219"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p>
        </w:tc>
        <w:tc>
          <w:tcPr>
            <w:tcW w:w="66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c>
          <w:tcPr>
            <w:tcW w:w="592" w:type="pct"/>
            <w:tcBorders>
              <w:top w:val="nil"/>
              <w:left w:val="nil"/>
              <w:bottom w:val="single" w:sz="8" w:space="0" w:color="auto"/>
              <w:right w:val="single" w:sz="8" w:space="0" w:color="auto"/>
            </w:tcBorders>
            <w:tcMar>
              <w:top w:w="0" w:type="dxa"/>
              <w:left w:w="108" w:type="dxa"/>
              <w:bottom w:w="0" w:type="dxa"/>
              <w:right w:w="108" w:type="dxa"/>
            </w:tcMar>
          </w:tcPr>
          <w:p w:rsidR="005B6C43" w:rsidRDefault="005B6C43" w:rsidP="005B6C43">
            <w:pPr>
              <w:spacing w:before="100" w:beforeAutospacing="1" w:after="100" w:afterAutospacing="1"/>
              <w:ind w:left="142"/>
              <w:jc w:val="right"/>
              <w:rPr>
                <w:sz w:val="16"/>
                <w:szCs w:val="16"/>
              </w:rPr>
            </w:pPr>
          </w:p>
        </w:tc>
      </w:tr>
      <w:tr w:rsidR="005B6C43" w:rsidTr="005B6C43">
        <w:trPr>
          <w:jc w:val="center"/>
        </w:trPr>
        <w:tc>
          <w:tcPr>
            <w:tcW w:w="1820" w:type="pct"/>
            <w:tcBorders>
              <w:top w:val="nil"/>
              <w:left w:val="single" w:sz="8" w:space="0" w:color="auto"/>
              <w:bottom w:val="single" w:sz="8" w:space="0" w:color="auto"/>
              <w:right w:val="single" w:sz="8" w:space="0" w:color="auto"/>
            </w:tcBorders>
            <w:shd w:val="clear" w:color="auto" w:fill="FDE9D9"/>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b/>
                <w:bCs/>
                <w:sz w:val="16"/>
                <w:szCs w:val="16"/>
                <w:lang w:eastAsia="it-IT"/>
              </w:rPr>
            </w:pPr>
            <w:r>
              <w:rPr>
                <w:b/>
                <w:bCs/>
                <w:sz w:val="16"/>
                <w:szCs w:val="16"/>
                <w:lang w:eastAsia="it-IT"/>
              </w:rPr>
              <w:t>Debito aprile 2014</w:t>
            </w:r>
          </w:p>
        </w:tc>
        <w:tc>
          <w:tcPr>
            <w:tcW w:w="707"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Pr>
                <w:rFonts w:ascii="Century Gothic" w:hAnsi="Century Gothic"/>
                <w:sz w:val="16"/>
                <w:szCs w:val="16"/>
                <w:lang w:eastAsia="it-IT"/>
              </w:rPr>
            </w:pPr>
            <w:r>
              <w:rPr>
                <w:rFonts w:ascii="Century Gothic" w:hAnsi="Century Gothic"/>
                <w:sz w:val="16"/>
                <w:szCs w:val="16"/>
                <w:lang w:eastAsia="it-IT"/>
              </w:rPr>
              <w:t>2.146,400</w:t>
            </w:r>
          </w:p>
        </w:tc>
        <w:tc>
          <w:tcPr>
            <w:tcW w:w="1219"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line="240" w:lineRule="auto"/>
              <w:ind w:left="142" w:right="-160"/>
              <w:rPr>
                <w:rFonts w:ascii="Century Gothic" w:hAnsi="Century Gothic"/>
                <w:sz w:val="16"/>
                <w:szCs w:val="16"/>
                <w:lang w:eastAsia="it-IT"/>
              </w:rPr>
            </w:pPr>
            <w:r>
              <w:rPr>
                <w:rFonts w:ascii="Century Gothic" w:hAnsi="Century Gothic"/>
                <w:sz w:val="16"/>
                <w:szCs w:val="16"/>
                <w:lang w:eastAsia="it-IT"/>
              </w:rPr>
              <w:t xml:space="preserve">+ 39,243 </w:t>
            </w:r>
            <w:r>
              <w:rPr>
                <w:rFonts w:ascii="Century Gothic" w:hAnsi="Century Gothic"/>
                <w:b/>
                <w:bCs/>
                <w:sz w:val="16"/>
                <w:szCs w:val="16"/>
                <w:lang w:eastAsia="it-IT"/>
              </w:rPr>
              <w:t>(19,62 mld/mese)</w:t>
            </w:r>
          </w:p>
        </w:tc>
        <w:tc>
          <w:tcPr>
            <w:tcW w:w="66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36,013</w:t>
            </w:r>
          </w:p>
        </w:tc>
        <w:tc>
          <w:tcPr>
            <w:tcW w:w="592" w:type="pct"/>
            <w:tcBorders>
              <w:top w:val="nil"/>
              <w:left w:val="nil"/>
              <w:bottom w:val="single" w:sz="8" w:space="0" w:color="auto"/>
              <w:right w:val="single" w:sz="8" w:space="0" w:color="auto"/>
            </w:tcBorders>
            <w:tcMar>
              <w:top w:w="0" w:type="dxa"/>
              <w:left w:w="108" w:type="dxa"/>
              <w:bottom w:w="0" w:type="dxa"/>
              <w:right w:w="108" w:type="dxa"/>
            </w:tcMar>
            <w:hideMark/>
          </w:tcPr>
          <w:p w:rsidR="005B6C43" w:rsidRDefault="005B6C43" w:rsidP="005B6C43">
            <w:pPr>
              <w:spacing w:before="100" w:beforeAutospacing="1" w:after="100" w:afterAutospacing="1"/>
              <w:ind w:left="142"/>
              <w:jc w:val="right"/>
              <w:rPr>
                <w:sz w:val="16"/>
                <w:szCs w:val="16"/>
              </w:rPr>
            </w:pPr>
            <w:r>
              <w:rPr>
                <w:sz w:val="16"/>
                <w:szCs w:val="16"/>
              </w:rPr>
              <w:t>+ 658</w:t>
            </w:r>
          </w:p>
        </w:tc>
      </w:tr>
    </w:tbl>
    <w:p w:rsidR="005B6C43" w:rsidRDefault="005B6C43" w:rsidP="005B6C43">
      <w:pPr>
        <w:ind w:left="142"/>
        <w:jc w:val="both"/>
      </w:pPr>
    </w:p>
    <w:p w:rsidR="005B6C43" w:rsidRDefault="005B6C43" w:rsidP="005B6C43">
      <w:pPr>
        <w:pStyle w:val="Nessunaspaziatura"/>
        <w:ind w:left="142"/>
      </w:pPr>
      <w:r>
        <w:t xml:space="preserve">  Il governo </w:t>
      </w:r>
      <w:r w:rsidRPr="005B6C43">
        <w:rPr>
          <w:b/>
        </w:rPr>
        <w:t>Renzi</w:t>
      </w:r>
      <w:r w:rsidRPr="005B6C43">
        <w:t>,</w:t>
      </w:r>
      <w:r>
        <w:t xml:space="preserve"> partito a fine febbraio con un debito di  2.107,1 miliardi di euro, termina il secondo mese di governo con il debito salito a 2.146,400 miliardi, con un aumento di 39,243 miliardi, al ritmo di 19,6 miliardi al mese ed un maggior carico per i cittadini di 658 euro di tassa occulta, oltre altri gravami di Tari, Tasi, addizionali Irpef, accise, bolli passaporti, ecc., che graverà sui giovani senza futuro, portando il gravame sulle spalle di ogni italiano a </w:t>
      </w:r>
      <w:r>
        <w:t>36.013</w:t>
      </w:r>
      <w:r>
        <w:t xml:space="preserve"> euro a fine aprile.</w:t>
      </w:r>
    </w:p>
    <w:p w:rsidR="005B6C43" w:rsidRDefault="005B6C43" w:rsidP="005B6C43">
      <w:pPr>
        <w:pStyle w:val="Nessunaspaziatura"/>
        <w:ind w:left="142"/>
      </w:pPr>
      <w:r>
        <w:t xml:space="preserve">Il governo </w:t>
      </w:r>
      <w:r>
        <w:rPr>
          <w:b/>
          <w:bCs/>
        </w:rPr>
        <w:t>Monti</w:t>
      </w:r>
      <w:r>
        <w:t xml:space="preserve">, in carica da metà novembre 2011, conclude il suo mandato a fine aprile 2013. La sua azione ha generato un aumento di 128,904 miliardi in 17 mesi, da fine novembre 2011 ( 1.912,389  miliardi) ad aprile di quest’anno (2.041,293 miliardi, ultimo dato fornito da Bankitalia sull’ammontare del debito pubblico), pari a circa 7,5 miliardi di aumento medio mensile, il peggior risultato rispetto a tutti i governi che l’hanno preceduto dal 1996.  Il calcolo preciso imputabile a Mario Monti è di difficile esecuzione perché non abbiamo il valore del debito a metà novembre 2011.L’incremento del debito per 128,904 miliardi di euro generato dal governo Monti ha prodotto per i cittadini italiani (59,6 milioni) </w:t>
      </w:r>
      <w:r>
        <w:lastRenderedPageBreak/>
        <w:t xml:space="preserve">un aumento del carico pro capite pari a +2.163 euro. Il debito a carico di ciascun cittadino italiano  è pari a 34.250 euro. </w:t>
      </w:r>
    </w:p>
    <w:p w:rsidR="005B6C43" w:rsidRDefault="005B6C43" w:rsidP="005B6C43">
      <w:pPr>
        <w:pStyle w:val="Nessunaspaziatura"/>
        <w:ind w:left="142"/>
      </w:pPr>
    </w:p>
    <w:p w:rsidR="005B6C43" w:rsidRDefault="005B6C43" w:rsidP="005B6C43">
      <w:pPr>
        <w:pStyle w:val="Nessunaspaziatura"/>
        <w:ind w:left="142"/>
      </w:pPr>
      <w:r>
        <w:t xml:space="preserve">Il governo </w:t>
      </w:r>
      <w:r>
        <w:rPr>
          <w:b/>
          <w:bCs/>
        </w:rPr>
        <w:t>Letta</w:t>
      </w:r>
      <w:r>
        <w:t>, partito</w:t>
      </w:r>
      <w:r>
        <w:rPr>
          <w:b/>
          <w:bCs/>
        </w:rPr>
        <w:t xml:space="preserve"> </w:t>
      </w:r>
      <w:r>
        <w:t>a fine aprile 2013 con un debito di 2.041,293 miliardi di euro, conclude il suo governo, a fine febbraio 2014, con un debito pubblico salito a 2.107,157, con un aumento in 10 mesi di oltre 48 miliardi, e un maggior carico pro capite per i cittadini di 1.105 euro imputabile alla sua politica. Il debito a carico di ciascun cittadino italiano a fine ottobre è pari a 35.354 euro.</w:t>
      </w:r>
    </w:p>
    <w:p w:rsidR="005B6C43" w:rsidRDefault="005B6C43" w:rsidP="005B6C43">
      <w:pPr>
        <w:pStyle w:val="Nessunaspaziatura"/>
        <w:ind w:left="142"/>
      </w:pPr>
      <w:r>
        <w:t xml:space="preserve">Per ridare fiato all’economia e speranze ai giovani disoccupati (arrivati al 46% della forza lavoro, al 61% al sud) ed all’esercito di precari, che devono sacrificarsi per veder rinnovati i contratti trimestrali a 600 euro al mese, occorre vendere oro e riserve di Bankitalia incassando oltre 100 miliardi di euro, investire in ricerca ed innovazione, disboscare la giungla di costose Autorità che tutelano gli interessi di banche ed imprese invece dei diritti dei consumatori, favorire la concorrenza ed un mercato in mano a monopoli, oligopoli e cartelli, approvare un decreto su </w:t>
      </w:r>
      <w:proofErr w:type="spellStart"/>
      <w:r>
        <w:t>autoriciclaggio</w:t>
      </w:r>
      <w:proofErr w:type="spellEnd"/>
      <w:r>
        <w:t xml:space="preserve"> ed anticorruzione, con pene pesanti per corrotti e corruttori.</w:t>
      </w:r>
    </w:p>
    <w:p w:rsidR="005B6C43" w:rsidRDefault="005B6C43" w:rsidP="005B6C43">
      <w:pPr>
        <w:pStyle w:val="Nessunaspaziatura"/>
        <w:ind w:left="142"/>
      </w:pPr>
    </w:p>
    <w:p w:rsidR="005B6C43" w:rsidRDefault="005B6C43" w:rsidP="005B6C43">
      <w:pPr>
        <w:pStyle w:val="Nessunaspaziatura"/>
        <w:ind w:left="142"/>
      </w:pPr>
      <w:r>
        <w:t>           </w:t>
      </w:r>
      <w:r>
        <w:t>                    </w:t>
      </w:r>
      <w:r>
        <w:t xml:space="preserve"> Elio Lannutti (Adusbef) - Rosario </w:t>
      </w:r>
      <w:proofErr w:type="spellStart"/>
      <w:r>
        <w:t>Trefiletti</w:t>
      </w:r>
      <w:proofErr w:type="spellEnd"/>
      <w:r>
        <w:t xml:space="preserve"> (Federconsumatori)       </w:t>
      </w:r>
    </w:p>
    <w:p w:rsidR="005B6C43" w:rsidRDefault="005B6C43" w:rsidP="005B6C43">
      <w:pPr>
        <w:pStyle w:val="Nessunaspaziatura"/>
        <w:ind w:left="142"/>
      </w:pPr>
      <w:r>
        <w:t xml:space="preserve">Roma,13.6.2014                </w:t>
      </w: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C43"/>
    <w:rsid w:val="00073741"/>
    <w:rsid w:val="00130235"/>
    <w:rsid w:val="001A3C40"/>
    <w:rsid w:val="001D07B7"/>
    <w:rsid w:val="001D0D71"/>
    <w:rsid w:val="002E4C34"/>
    <w:rsid w:val="00370059"/>
    <w:rsid w:val="00424BEE"/>
    <w:rsid w:val="004B0A7D"/>
    <w:rsid w:val="004B75D8"/>
    <w:rsid w:val="004F322C"/>
    <w:rsid w:val="005057D6"/>
    <w:rsid w:val="00535F48"/>
    <w:rsid w:val="005B6C43"/>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B6C43"/>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B6C43"/>
    <w:pPr>
      <w:spacing w:before="0" w:after="200" w:line="276" w:lineRule="auto"/>
      <w:jc w:val="left"/>
    </w:pPr>
    <w:rPr>
      <w:rFonts w:ascii="Calibri" w:hAnsi="Calibri"/>
      <w:bCs w:val="0"/>
      <w:iCs w:val="0"/>
      <w:kern w:val="0"/>
    </w:rPr>
  </w:style>
  <w:style w:type="paragraph" w:styleId="Titolo1">
    <w:name w:val="heading 1"/>
    <w:basedOn w:val="Normale"/>
    <w:link w:val="Titolo1Carattere"/>
    <w:uiPriority w:val="9"/>
    <w:qFormat/>
    <w:rsid w:val="00535F48"/>
    <w:pPr>
      <w:keepNext/>
      <w:spacing w:before="240" w:after="60" w:line="240" w:lineRule="auto"/>
      <w:ind w:left="480" w:right="34"/>
      <w:jc w:val="center"/>
      <w:outlineLvl w:val="0"/>
    </w:pPr>
    <w:rPr>
      <w:rFonts w:ascii="Century Gothic" w:hAnsi="Century Gothic" w:cs="Century Gothic"/>
      <w:b/>
      <w:bCs/>
      <w:color w:val="17365D" w:themeColor="text2" w:themeShade="BF"/>
      <w:sz w:val="32"/>
      <w:szCs w:val="32"/>
      <w:lang w:eastAsia="it-IT"/>
    </w:rPr>
  </w:style>
  <w:style w:type="paragraph" w:styleId="Titolo2">
    <w:name w:val="heading 2"/>
    <w:basedOn w:val="Normale"/>
    <w:link w:val="Titolo2Carattere"/>
    <w:qFormat/>
    <w:rsid w:val="00535F48"/>
    <w:pPr>
      <w:keepNext/>
      <w:spacing w:before="240" w:after="60" w:line="240" w:lineRule="auto"/>
      <w:jc w:val="center"/>
      <w:outlineLvl w:val="1"/>
    </w:pPr>
    <w:rPr>
      <w:rFonts w:ascii="Century Gothic" w:eastAsiaTheme="minorEastAsia" w:hAnsi="Century Gothic" w:cs="Century Gothic"/>
      <w:b/>
      <w:bCs/>
      <w:iCs/>
      <w:color w:val="17365D" w:themeColor="text2" w:themeShade="BF"/>
      <w:kern w:val="36"/>
      <w:sz w:val="28"/>
      <w:szCs w:val="16"/>
      <w:lang w:eastAsia="it-IT"/>
    </w:rPr>
  </w:style>
  <w:style w:type="paragraph" w:styleId="Titolo3">
    <w:name w:val="heading 3"/>
    <w:basedOn w:val="Normale"/>
    <w:link w:val="Titolo3Carattere"/>
    <w:uiPriority w:val="9"/>
    <w:qFormat/>
    <w:rsid w:val="00535F48"/>
    <w:pPr>
      <w:keepNext/>
      <w:spacing w:before="240" w:after="60" w:line="240" w:lineRule="auto"/>
      <w:jc w:val="center"/>
      <w:outlineLvl w:val="2"/>
    </w:pPr>
    <w:rPr>
      <w:rFonts w:ascii="Century Gothic" w:hAnsi="Century Gothic" w:cs="Century Gothic"/>
      <w:b/>
      <w:bCs/>
      <w:color w:val="17365D" w:themeColor="text2" w:themeShade="BF"/>
      <w:sz w:val="24"/>
      <w:szCs w:val="24"/>
      <w:lang w:eastAsia="it-IT"/>
    </w:rPr>
  </w:style>
  <w:style w:type="paragraph" w:styleId="Titolo4">
    <w:name w:val="heading 4"/>
    <w:basedOn w:val="Normale"/>
    <w:link w:val="Titolo4Carattere"/>
    <w:uiPriority w:val="9"/>
    <w:qFormat/>
    <w:rsid w:val="00535F48"/>
    <w:pPr>
      <w:keepNext/>
      <w:spacing w:before="240" w:after="60" w:line="240" w:lineRule="auto"/>
      <w:outlineLvl w:val="3"/>
    </w:pPr>
    <w:rPr>
      <w:rFonts w:ascii="Century Gothic" w:hAnsi="Century Gothic"/>
      <w:b/>
      <w:bCs/>
      <w:color w:val="17365D" w:themeColor="text2" w:themeShade="BF"/>
      <w:sz w:val="24"/>
      <w:szCs w:val="28"/>
      <w:lang w:eastAsia="it-IT"/>
    </w:rPr>
  </w:style>
  <w:style w:type="paragraph" w:styleId="Titolo6">
    <w:name w:val="heading 6"/>
    <w:basedOn w:val="Normale"/>
    <w:link w:val="Titolo6Carattere"/>
    <w:uiPriority w:val="9"/>
    <w:qFormat/>
    <w:rsid w:val="00130235"/>
    <w:pPr>
      <w:spacing w:before="240" w:after="60" w:line="240" w:lineRule="auto"/>
      <w:jc w:val="both"/>
      <w:outlineLvl w:val="5"/>
    </w:pPr>
    <w:rPr>
      <w:rFonts w:ascii="Times New Roman" w:hAnsi="Times New Roman"/>
      <w:b/>
      <w:bCs/>
      <w:color w:val="17365D" w:themeColor="text2" w:themeShade="BF"/>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line="240" w:lineRule="auto"/>
      <w:jc w:val="both"/>
    </w:pPr>
    <w:rPr>
      <w:rFonts w:ascii="Century Gothic" w:eastAsia="Times New Roman" w:hAnsi="Century Gothic" w:cs="Century Gothic"/>
      <w:bCs/>
      <w:iCs/>
      <w:color w:val="17365D" w:themeColor="text2" w:themeShade="BF"/>
      <w:kern w:val="36"/>
      <w:sz w:val="24"/>
      <w:szCs w:val="24"/>
      <w:lang w:eastAsia="it-IT"/>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line="240" w:lineRule="auto"/>
      <w:jc w:val="center"/>
    </w:pPr>
    <w:rPr>
      <w:rFonts w:ascii="Century Gothic" w:hAnsi="Century Gothic" w:cs="Arial"/>
      <w:b/>
      <w:bCs/>
      <w:color w:val="17365D" w:themeColor="text2" w:themeShade="BF"/>
      <w:sz w:val="34"/>
      <w:szCs w:val="32"/>
      <w:lang w:eastAsia="it-IT"/>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line="240" w:lineRule="auto"/>
      <w:ind w:left="600" w:firstLine="567"/>
      <w:jc w:val="both"/>
    </w:pPr>
    <w:rPr>
      <w:rFonts w:asciiTheme="majorHAnsi" w:eastAsiaTheme="majorEastAsia" w:hAnsiTheme="majorHAnsi" w:cstheme="majorBidi"/>
      <w:i/>
      <w:iCs/>
      <w:color w:val="4F81BD" w:themeColor="accent1"/>
      <w:spacing w:val="15"/>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line="240" w:lineRule="auto"/>
      <w:ind w:right="-2"/>
      <w:jc w:val="both"/>
    </w:pPr>
    <w:rPr>
      <w:rFonts w:ascii="Century Gothic" w:hAnsi="Century Gothic"/>
      <w:color w:val="17365D" w:themeColor="text2" w:themeShade="BF"/>
      <w:sz w:val="24"/>
      <w:szCs w:val="24"/>
      <w:lang w:eastAsia="it-IT"/>
    </w:rPr>
  </w:style>
  <w:style w:type="paragraph" w:styleId="Sommario3">
    <w:name w:val="toc 3"/>
    <w:basedOn w:val="Normale"/>
    <w:autoRedefine/>
    <w:uiPriority w:val="39"/>
    <w:semiHidden/>
    <w:unhideWhenUsed/>
    <w:rsid w:val="00130235"/>
    <w:pPr>
      <w:spacing w:before="120" w:after="120" w:line="240" w:lineRule="auto"/>
      <w:ind w:left="440"/>
      <w:jc w:val="both"/>
    </w:pPr>
    <w:rPr>
      <w:rFonts w:ascii="Times New Roman" w:hAnsi="Times New Roman"/>
      <w:color w:val="17365D" w:themeColor="text2" w:themeShade="BF"/>
      <w:sz w:val="24"/>
      <w:szCs w:val="24"/>
      <w:lang w:eastAsia="it-IT"/>
    </w:rPr>
  </w:style>
  <w:style w:type="paragraph" w:styleId="Testonotaapidipagina">
    <w:name w:val="footnote text"/>
    <w:basedOn w:val="Normale"/>
    <w:link w:val="Testonotaa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line="240" w:lineRule="auto"/>
      <w:jc w:val="both"/>
    </w:pPr>
    <w:rPr>
      <w:rFonts w:ascii="Times New Roman" w:hAnsi="Times New Roman"/>
      <w:color w:val="17365D" w:themeColor="text2" w:themeShade="BF"/>
      <w:sz w:val="24"/>
      <w:szCs w:val="24"/>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line="240" w:lineRule="auto"/>
      <w:jc w:val="both"/>
    </w:pPr>
    <w:rPr>
      <w:rFonts w:ascii="Century Gothic" w:hAnsi="Century Gothic"/>
      <w:color w:val="17365D" w:themeColor="text2" w:themeShade="BF"/>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line="240" w:lineRule="auto"/>
      <w:ind w:left="480"/>
      <w:jc w:val="both"/>
    </w:pPr>
    <w:rPr>
      <w:rFonts w:ascii="Century Gothic" w:hAnsi="Century Gothic"/>
      <w:color w:val="FF0000"/>
      <w:sz w:val="18"/>
      <w:szCs w:val="18"/>
      <w:lang w:eastAsia="it-IT"/>
    </w:rPr>
  </w:style>
  <w:style w:type="paragraph" w:styleId="Testonormale">
    <w:name w:val="Plain Text"/>
    <w:basedOn w:val="Normale"/>
    <w:link w:val="TestonormaleCarattere"/>
    <w:uiPriority w:val="99"/>
    <w:semiHidden/>
    <w:unhideWhenUsed/>
    <w:rsid w:val="00130235"/>
    <w:pPr>
      <w:spacing w:before="120" w:after="120" w:line="240" w:lineRule="auto"/>
      <w:jc w:val="both"/>
    </w:pPr>
    <w:rPr>
      <w:color w:val="17365D" w:themeColor="text2" w:themeShade="BF"/>
      <w:sz w:val="24"/>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line="240" w:lineRule="auto"/>
      <w:jc w:val="both"/>
    </w:pPr>
    <w:rPr>
      <w:rFonts w:ascii="Tahoma" w:hAnsi="Tahoma" w:cs="Tahoma"/>
      <w:color w:val="17365D" w:themeColor="text2" w:themeShade="BF"/>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line="240" w:lineRule="auto"/>
      <w:ind w:left="2160"/>
      <w:jc w:val="both"/>
    </w:pPr>
    <w:rPr>
      <w:rFonts w:ascii="Century Gothic" w:hAnsi="Century Gothic"/>
      <w:color w:val="0F243E"/>
      <w:sz w:val="24"/>
      <w:szCs w:val="24"/>
      <w:lang w:eastAsia="it-IT"/>
    </w:rPr>
  </w:style>
  <w:style w:type="paragraph" w:styleId="Paragrafoelenco">
    <w:name w:val="List Paragraph"/>
    <w:basedOn w:val="Normale"/>
    <w:uiPriority w:val="34"/>
    <w:qFormat/>
    <w:rsid w:val="00130235"/>
    <w:pPr>
      <w:spacing w:before="120" w:after="120" w:line="240" w:lineRule="auto"/>
      <w:ind w:left="720"/>
      <w:jc w:val="both"/>
    </w:pPr>
    <w:rPr>
      <w:rFonts w:ascii="Century Gothic" w:hAnsi="Century Gothic"/>
      <w:color w:val="17365D" w:themeColor="text2" w:themeShade="BF"/>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95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595</Words>
  <Characters>3395</Characters>
  <Application>Microsoft Office Word</Application>
  <DocSecurity>0</DocSecurity>
  <Lines>28</Lines>
  <Paragraphs>7</Paragraphs>
  <ScaleCrop>false</ScaleCrop>
  <Company/>
  <LinksUpToDate>false</LinksUpToDate>
  <CharactersWithSpaces>3983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2014-06-13T10:47:00Z</dcterms:created>
  <dcterms:modified xsi:type="dcterms:W3CDTF">2014-06-13T11:01:00Z</dcterms:modified>
</cp:coreProperties>
</file>