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250B" w:rsidRDefault="00F0250B" w:rsidP="00F0250B">
      <w:pPr>
        <w:pStyle w:val="Nessunaspaziatura"/>
        <w:ind w:left="0"/>
        <w:jc w:val="center"/>
      </w:pPr>
      <w:r>
        <w:t>COMUNICATO STAMPA</w:t>
      </w:r>
    </w:p>
    <w:p w:rsidR="00F0250B" w:rsidRDefault="00F0250B" w:rsidP="00F0250B">
      <w:pPr>
        <w:pStyle w:val="Nessunaspaziatura"/>
        <w:ind w:left="0"/>
        <w:jc w:val="center"/>
      </w:pPr>
    </w:p>
    <w:p w:rsidR="00F0250B" w:rsidRDefault="00F0250B" w:rsidP="00F0250B">
      <w:pPr>
        <w:pStyle w:val="Nessunaspaziatura"/>
        <w:ind w:left="0"/>
        <w:jc w:val="center"/>
      </w:pPr>
      <w:r>
        <w:t>BCE: MISURE CONDIVISIBILI, A PATTO CHE BANKITALIA VIGILI E SANZIONI SISTEMA BANCARIO PREDATORIO</w:t>
      </w:r>
    </w:p>
    <w:p w:rsidR="00F0250B" w:rsidRDefault="00F0250B" w:rsidP="00F0250B">
      <w:pPr>
        <w:pStyle w:val="Nessunaspaziatura"/>
        <w:ind w:left="0"/>
        <w:jc w:val="center"/>
      </w:pPr>
      <w:r>
        <w:t>ITALIA GIA’ PENALIZZATA DA ALTI COSTI  DEI CONTI CORRENTI ED ELEVATI TASSI SU MUTUI E PRESTITI</w:t>
      </w:r>
    </w:p>
    <w:p w:rsidR="00F0250B" w:rsidRDefault="00F0250B" w:rsidP="00F0250B">
      <w:pPr>
        <w:pStyle w:val="Nessunaspaziatura"/>
        <w:ind w:left="0"/>
        <w:jc w:val="center"/>
      </w:pPr>
    </w:p>
    <w:p w:rsidR="00F0250B" w:rsidRDefault="00F0250B" w:rsidP="00F0250B">
      <w:pPr>
        <w:pStyle w:val="Nessunaspaziatura"/>
        <w:ind w:left="0"/>
      </w:pPr>
    </w:p>
    <w:p w:rsidR="00F0250B" w:rsidRDefault="00F0250B" w:rsidP="00F0250B">
      <w:pPr>
        <w:pStyle w:val="Nessunaspaziatura"/>
        <w:ind w:left="0"/>
      </w:pPr>
      <w:r>
        <w:t xml:space="preserve">   Adusbef e Federconsumatori giudicano condivisibili le misure annunciate oggi dalla Bce, che ha tagliato i tassi allo 0,15%, mentre quelli sono depositi sono passati in negativo al -0,1%, unite alle nuove misure di  liquidità, con aste per le banche vincolate all'erogazione del credito, a patto che Bankitalia vigili sui comportamenti predatori delle banche, che registrano un differenziale elevato di tasso su mutui e prestiti offerti in Italia rispetto ad Eurolandia. Secondo l’ultimo bollettino Bce di maggio 2014 infatti, la media dei tassi applicati sul credito al consumo è di 7,52% in </w:t>
      </w:r>
      <w:proofErr w:type="spellStart"/>
      <w:r>
        <w:t>Italia,contro</w:t>
      </w:r>
      <w:proofErr w:type="spellEnd"/>
      <w:r>
        <w:t xml:space="preserve"> il 5,95% nell’area euro (spread di +157 punti base);  per i mutui la media Ue è di 3,23% contro il 4,62% dell’Italia, con il differenziale di +139 punti base che porta un italiano a pagare per ogni mutuo trentennale di 100.000 euro, un ‘pizzo’ di 25.000 euro in più.</w:t>
      </w:r>
    </w:p>
    <w:p w:rsidR="00F0250B" w:rsidRDefault="00F0250B" w:rsidP="00F0250B">
      <w:pPr>
        <w:pStyle w:val="Nessunaspaziatura"/>
        <w:ind w:left="0"/>
      </w:pPr>
      <w:r>
        <w:t xml:space="preserve">  Anche le nuove operazioni di rifinanziamento a lungo termine per il sistema bancario (nuove aste, simili a quelle già fatte tra fine 2011 e inizio 2012, LTRO) e un lavoro preparatorio legato all'acquisto di </w:t>
      </w:r>
      <w:proofErr w:type="spellStart"/>
      <w:r>
        <w:t>Abs</w:t>
      </w:r>
      <w:proofErr w:type="spellEnd"/>
      <w:r>
        <w:t xml:space="preserve"> (i titoli cartolarizzati garantiti da prestiti e mutui che la Bce accetta dalle banche, oltre che un allungamento dei prestiti a tasso fisso, possono accrescere la liquidità sui mercati ed aiutare la domanda di credito delle imprese. Ma anche su questo fronte, conoscendo la voracità del sistema bancario italiano, non diamo nulla per scontato e giudicheremo da tassi e condizioni praticate alla clientela.</w:t>
      </w:r>
    </w:p>
    <w:p w:rsidR="00F0250B" w:rsidRDefault="00F0250B" w:rsidP="00F0250B">
      <w:pPr>
        <w:pStyle w:val="Nessunaspaziatura"/>
        <w:ind w:left="0"/>
      </w:pPr>
      <w:r>
        <w:t xml:space="preserve">  Bene ha fatto la Bce a finalizzare le aste vincolate all’erogazione del credito all’economia reale,  in particolare con </w:t>
      </w:r>
      <w:proofErr w:type="spellStart"/>
      <w:r>
        <w:t>TLtro</w:t>
      </w:r>
      <w:proofErr w:type="spellEnd"/>
      <w:r>
        <w:t xml:space="preserve"> (</w:t>
      </w:r>
      <w:proofErr w:type="spellStart"/>
      <w:r>
        <w:t>Targeted</w:t>
      </w:r>
      <w:proofErr w:type="spellEnd"/>
      <w:r>
        <w:t xml:space="preserve"> </w:t>
      </w:r>
      <w:proofErr w:type="spellStart"/>
      <w:r>
        <w:t>longer-term</w:t>
      </w:r>
      <w:proofErr w:type="spellEnd"/>
      <w:r>
        <w:t xml:space="preserve"> </w:t>
      </w:r>
      <w:proofErr w:type="spellStart"/>
      <w:r>
        <w:t>refinancing</w:t>
      </w:r>
      <w:proofErr w:type="spellEnd"/>
      <w:r>
        <w:t xml:space="preserve"> </w:t>
      </w:r>
      <w:proofErr w:type="spellStart"/>
      <w:r>
        <w:t>operations</w:t>
      </w:r>
      <w:proofErr w:type="spellEnd"/>
      <w:r>
        <w:t>), prestiti a lungo termine che le banche potranno sfruttare, con una serie di scadenze che arriveranno fino a settembre 2018, pari al 7% dell'ammontare delle loro esposizioni al settore non finanziario (mutui esclusi) al 30 aprile 2014, ossia circa  400 miliardi di euro, ma occorre verificare il livello dei tassi Bce e quello applicato dalle banche alla clientela.</w:t>
      </w:r>
    </w:p>
    <w:p w:rsidR="00F0250B" w:rsidRDefault="00F0250B" w:rsidP="00F0250B">
      <w:pPr>
        <w:pStyle w:val="Nessunaspaziatura"/>
        <w:ind w:left="0"/>
      </w:pPr>
      <w:r>
        <w:t xml:space="preserve">  Adusbef e Federconsumatori ,esprimono maggiore cautela  su  </w:t>
      </w:r>
      <w:proofErr w:type="spellStart"/>
      <w:r>
        <w:t>Abs</w:t>
      </w:r>
      <w:proofErr w:type="spellEnd"/>
      <w:r>
        <w:t xml:space="preserve"> e rifinanziamento, poiché se è vero che occorre sviluppare il mercato delle </w:t>
      </w:r>
      <w:proofErr w:type="spellStart"/>
      <w:r>
        <w:t>Abs</w:t>
      </w:r>
      <w:proofErr w:type="spellEnd"/>
      <w:r>
        <w:t xml:space="preserve"> (</w:t>
      </w:r>
      <w:proofErr w:type="spellStart"/>
      <w:r>
        <w:t>Asset</w:t>
      </w:r>
      <w:proofErr w:type="spellEnd"/>
      <w:r>
        <w:t xml:space="preserve"> </w:t>
      </w:r>
      <w:proofErr w:type="spellStart"/>
      <w:r>
        <w:t>Backed</w:t>
      </w:r>
      <w:proofErr w:type="spellEnd"/>
      <w:r>
        <w:t xml:space="preserve"> Securities), strumenti finanziari obbligazionari garantiti da un sottostante, emessi per coprire dei prestiti in cambio di una cedola e rimborsati alla scadenza, per poter bilanciare rischi e rendimenti offerti, nel Paese dei crack finanziari avvenuti spesso per omessa vigilanza delle  Autorità  preposte ai controlli, se tali strumenti dovessero andare alla clientela </w:t>
      </w:r>
      <w:proofErr w:type="spellStart"/>
      <w:r>
        <w:t>retail</w:t>
      </w:r>
      <w:proofErr w:type="spellEnd"/>
      <w:r>
        <w:t xml:space="preserve">, è sempre bene avere valutazioni attente dei risparmiatori suffragate da una sana diffidenza. </w:t>
      </w:r>
    </w:p>
    <w:p w:rsidR="00F0250B" w:rsidRDefault="00F0250B" w:rsidP="00F0250B">
      <w:pPr>
        <w:pStyle w:val="Nessunaspaziatura"/>
      </w:pPr>
    </w:p>
    <w:p w:rsidR="00F0250B" w:rsidRDefault="00F0250B" w:rsidP="00F0250B">
      <w:pPr>
        <w:pStyle w:val="Nessunaspaziatura"/>
      </w:pPr>
    </w:p>
    <w:p w:rsidR="00F0250B" w:rsidRDefault="00F0250B" w:rsidP="00F0250B">
      <w:pPr>
        <w:spacing w:after="0"/>
        <w:rPr>
          <w:sz w:val="20"/>
          <w:szCs w:val="20"/>
        </w:rPr>
      </w:pPr>
      <w:r>
        <w:rPr>
          <w:b/>
          <w:bCs/>
          <w:sz w:val="20"/>
          <w:szCs w:val="20"/>
        </w:rPr>
        <w:t>CREDITO AL CONSUMO E MUTUI. AGGIORNAMENTO del 26-5-2014-DIFFERENZIALE TASSI MEDI BANCARI A FAMIGLIE IN AREA EURO E IN ITALIA (nuove operazioni) SU CREDITO AL CONSUMO</w:t>
      </w:r>
      <w:r>
        <w:rPr>
          <w:sz w:val="20"/>
          <w:szCs w:val="20"/>
        </w:rPr>
        <w:t xml:space="preserve"> E </w:t>
      </w:r>
      <w:r>
        <w:rPr>
          <w:b/>
          <w:bCs/>
          <w:sz w:val="20"/>
          <w:szCs w:val="20"/>
        </w:rPr>
        <w:t>MUTUI V</w:t>
      </w:r>
      <w:r>
        <w:rPr>
          <w:sz w:val="20"/>
          <w:szCs w:val="20"/>
        </w:rPr>
        <w:t xml:space="preserve">alori percentuali).Fonte Boll.no BCE (5-2014) e </w:t>
      </w:r>
      <w:proofErr w:type="spellStart"/>
      <w:r>
        <w:rPr>
          <w:sz w:val="20"/>
          <w:szCs w:val="20"/>
        </w:rPr>
        <w:t>Suppl</w:t>
      </w:r>
      <w:proofErr w:type="spellEnd"/>
      <w:r>
        <w:rPr>
          <w:sz w:val="20"/>
          <w:szCs w:val="20"/>
        </w:rPr>
        <w:t xml:space="preserve">. </w:t>
      </w:r>
      <w:proofErr w:type="spellStart"/>
      <w:r>
        <w:rPr>
          <w:sz w:val="20"/>
          <w:szCs w:val="20"/>
        </w:rPr>
        <w:t>Boll</w:t>
      </w:r>
      <w:proofErr w:type="spellEnd"/>
      <w:r>
        <w:rPr>
          <w:sz w:val="20"/>
          <w:szCs w:val="20"/>
        </w:rPr>
        <w:t xml:space="preserve">. </w:t>
      </w:r>
      <w:proofErr w:type="spellStart"/>
      <w:r>
        <w:rPr>
          <w:sz w:val="20"/>
          <w:szCs w:val="20"/>
        </w:rPr>
        <w:t>stat</w:t>
      </w:r>
      <w:proofErr w:type="spellEnd"/>
      <w:r>
        <w:rPr>
          <w:sz w:val="20"/>
          <w:szCs w:val="20"/>
        </w:rPr>
        <w:t>. Bankitalia del maggio 2014.</w:t>
      </w:r>
    </w:p>
    <w:tbl>
      <w:tblPr>
        <w:tblW w:w="9336" w:type="dxa"/>
        <w:jc w:val="center"/>
        <w:tblInd w:w="567" w:type="dxa"/>
        <w:tblCellMar>
          <w:left w:w="0" w:type="dxa"/>
          <w:right w:w="0" w:type="dxa"/>
        </w:tblCellMar>
        <w:tblLook w:val="04A0" w:firstRow="1" w:lastRow="0" w:firstColumn="1" w:lastColumn="0" w:noHBand="0" w:noVBand="1"/>
      </w:tblPr>
      <w:tblGrid>
        <w:gridCol w:w="1490"/>
        <w:gridCol w:w="64"/>
        <w:gridCol w:w="2123"/>
        <w:gridCol w:w="28"/>
        <w:gridCol w:w="31"/>
        <w:gridCol w:w="1180"/>
        <w:gridCol w:w="308"/>
        <w:gridCol w:w="20"/>
        <w:gridCol w:w="49"/>
        <w:gridCol w:w="1341"/>
        <w:gridCol w:w="143"/>
        <w:gridCol w:w="18"/>
        <w:gridCol w:w="31"/>
        <w:gridCol w:w="2463"/>
        <w:gridCol w:w="47"/>
      </w:tblGrid>
      <w:tr w:rsidR="00F0250B" w:rsidTr="00F0250B">
        <w:trPr>
          <w:gridAfter w:val="1"/>
          <w:wAfter w:w="47" w:type="dxa"/>
          <w:trHeight w:val="270"/>
          <w:jc w:val="center"/>
        </w:trPr>
        <w:tc>
          <w:tcPr>
            <w:tcW w:w="1490" w:type="dxa"/>
            <w:tcBorders>
              <w:top w:val="single" w:sz="8" w:space="0" w:color="auto"/>
              <w:left w:val="single" w:sz="8" w:space="0" w:color="auto"/>
              <w:bottom w:val="single" w:sz="18" w:space="0" w:color="auto"/>
              <w:right w:val="single" w:sz="8" w:space="0" w:color="auto"/>
            </w:tcBorders>
            <w:shd w:val="clear" w:color="auto" w:fill="C2D69B"/>
            <w:tcMar>
              <w:top w:w="0" w:type="dxa"/>
              <w:left w:w="108" w:type="dxa"/>
              <w:bottom w:w="0" w:type="dxa"/>
              <w:right w:w="108" w:type="dxa"/>
            </w:tcMar>
            <w:vAlign w:val="center"/>
          </w:tcPr>
          <w:p w:rsidR="00F0250B" w:rsidRDefault="00F0250B">
            <w:pPr>
              <w:spacing w:after="0" w:line="240" w:lineRule="auto"/>
            </w:pPr>
          </w:p>
        </w:tc>
        <w:tc>
          <w:tcPr>
            <w:tcW w:w="2215" w:type="dxa"/>
            <w:gridSpan w:val="3"/>
            <w:tcBorders>
              <w:top w:val="single" w:sz="8" w:space="0" w:color="auto"/>
              <w:left w:val="nil"/>
              <w:bottom w:val="single" w:sz="18" w:space="0" w:color="auto"/>
              <w:right w:val="single" w:sz="8" w:space="0" w:color="auto"/>
            </w:tcBorders>
            <w:shd w:val="clear" w:color="auto" w:fill="FFFFFF"/>
            <w:tcMar>
              <w:top w:w="0" w:type="dxa"/>
              <w:left w:w="108" w:type="dxa"/>
              <w:bottom w:w="0" w:type="dxa"/>
              <w:right w:w="108" w:type="dxa"/>
            </w:tcMar>
          </w:tcPr>
          <w:p w:rsidR="00F0250B" w:rsidRDefault="00F0250B">
            <w:pPr>
              <w:spacing w:after="0" w:line="240" w:lineRule="auto"/>
              <w:jc w:val="center"/>
            </w:pPr>
          </w:p>
        </w:tc>
        <w:tc>
          <w:tcPr>
            <w:tcW w:w="1519" w:type="dxa"/>
            <w:gridSpan w:val="3"/>
            <w:tcBorders>
              <w:top w:val="single" w:sz="8" w:space="0" w:color="auto"/>
              <w:left w:val="nil"/>
              <w:bottom w:val="single" w:sz="18" w:space="0" w:color="auto"/>
              <w:right w:val="single" w:sz="8" w:space="0" w:color="auto"/>
            </w:tcBorders>
            <w:shd w:val="clear" w:color="auto" w:fill="FFFFFF"/>
            <w:tcMar>
              <w:top w:w="0" w:type="dxa"/>
              <w:left w:w="108" w:type="dxa"/>
              <w:bottom w:w="0" w:type="dxa"/>
              <w:right w:w="108" w:type="dxa"/>
            </w:tcMar>
            <w:hideMark/>
          </w:tcPr>
          <w:p w:rsidR="00F0250B" w:rsidRDefault="00F0250B">
            <w:pPr>
              <w:spacing w:after="0" w:line="240" w:lineRule="auto"/>
              <w:jc w:val="center"/>
            </w:pPr>
            <w:r>
              <w:rPr>
                <w:b/>
                <w:bCs/>
              </w:rPr>
              <w:t>Tassi applicati in Italia</w:t>
            </w:r>
          </w:p>
        </w:tc>
        <w:tc>
          <w:tcPr>
            <w:tcW w:w="1571" w:type="dxa"/>
            <w:gridSpan w:val="5"/>
            <w:tcBorders>
              <w:top w:val="single" w:sz="8" w:space="0" w:color="auto"/>
              <w:left w:val="nil"/>
              <w:bottom w:val="single" w:sz="18" w:space="0" w:color="auto"/>
              <w:right w:val="single" w:sz="8" w:space="0" w:color="auto"/>
            </w:tcBorders>
            <w:shd w:val="clear" w:color="auto" w:fill="FFFFFF"/>
            <w:tcMar>
              <w:top w:w="0" w:type="dxa"/>
              <w:left w:w="108" w:type="dxa"/>
              <w:bottom w:w="0" w:type="dxa"/>
              <w:right w:w="108" w:type="dxa"/>
            </w:tcMar>
            <w:hideMark/>
          </w:tcPr>
          <w:p w:rsidR="00F0250B" w:rsidRDefault="00F0250B">
            <w:pPr>
              <w:spacing w:after="0" w:line="240" w:lineRule="auto"/>
              <w:jc w:val="center"/>
            </w:pPr>
            <w:r>
              <w:rPr>
                <w:b/>
                <w:bCs/>
              </w:rPr>
              <w:t>Tassi applicati in  Area euro</w:t>
            </w:r>
          </w:p>
        </w:tc>
        <w:tc>
          <w:tcPr>
            <w:tcW w:w="2494" w:type="dxa"/>
            <w:gridSpan w:val="2"/>
            <w:tcBorders>
              <w:top w:val="single" w:sz="8" w:space="0" w:color="auto"/>
              <w:left w:val="nil"/>
              <w:bottom w:val="single" w:sz="18" w:space="0" w:color="auto"/>
              <w:right w:val="single" w:sz="8" w:space="0" w:color="auto"/>
            </w:tcBorders>
            <w:shd w:val="clear" w:color="auto" w:fill="FFFFFF"/>
            <w:tcMar>
              <w:top w:w="0" w:type="dxa"/>
              <w:left w:w="108" w:type="dxa"/>
              <w:bottom w:w="0" w:type="dxa"/>
              <w:right w:w="108" w:type="dxa"/>
            </w:tcMar>
            <w:vAlign w:val="center"/>
            <w:hideMark/>
          </w:tcPr>
          <w:p w:rsidR="00F0250B" w:rsidRDefault="00F0250B">
            <w:pPr>
              <w:spacing w:after="0" w:line="240" w:lineRule="auto"/>
              <w:jc w:val="center"/>
            </w:pPr>
            <w:r>
              <w:rPr>
                <w:b/>
                <w:bCs/>
              </w:rPr>
              <w:t>Differenziale</w:t>
            </w:r>
          </w:p>
          <w:p w:rsidR="00F0250B" w:rsidRDefault="00F0250B">
            <w:pPr>
              <w:spacing w:after="0" w:line="240" w:lineRule="auto"/>
              <w:jc w:val="center"/>
              <w:rPr>
                <w:b/>
                <w:bCs/>
              </w:rPr>
            </w:pPr>
            <w:r>
              <w:rPr>
                <w:b/>
                <w:bCs/>
              </w:rPr>
              <w:t>Italia-Eurolandia</w:t>
            </w:r>
          </w:p>
          <w:p w:rsidR="00F0250B" w:rsidRDefault="00F0250B">
            <w:pPr>
              <w:spacing w:after="0" w:line="240" w:lineRule="auto"/>
              <w:jc w:val="center"/>
              <w:rPr>
                <w:b/>
                <w:bCs/>
              </w:rPr>
            </w:pPr>
            <w:r>
              <w:rPr>
                <w:b/>
                <w:bCs/>
              </w:rPr>
              <w:t>espresso in punti base</w:t>
            </w:r>
          </w:p>
        </w:tc>
      </w:tr>
      <w:tr w:rsidR="00F0250B" w:rsidTr="00F0250B">
        <w:trPr>
          <w:gridAfter w:val="1"/>
          <w:wAfter w:w="47" w:type="dxa"/>
          <w:trHeight w:val="270"/>
          <w:jc w:val="center"/>
        </w:trPr>
        <w:tc>
          <w:tcPr>
            <w:tcW w:w="1554" w:type="dxa"/>
            <w:gridSpan w:val="2"/>
            <w:vMerge w:val="restart"/>
            <w:tcBorders>
              <w:top w:val="nil"/>
              <w:left w:val="single" w:sz="8" w:space="0" w:color="auto"/>
              <w:bottom w:val="single" w:sz="18" w:space="0" w:color="auto"/>
              <w:right w:val="single" w:sz="8" w:space="0" w:color="auto"/>
            </w:tcBorders>
            <w:shd w:val="clear" w:color="auto" w:fill="C2D69B"/>
            <w:tcMar>
              <w:top w:w="0" w:type="dxa"/>
              <w:left w:w="108" w:type="dxa"/>
              <w:bottom w:w="0" w:type="dxa"/>
              <w:right w:w="108" w:type="dxa"/>
            </w:tcMar>
            <w:vAlign w:val="center"/>
            <w:hideMark/>
          </w:tcPr>
          <w:p w:rsidR="00F0250B" w:rsidRDefault="00F0250B">
            <w:pPr>
              <w:spacing w:after="0"/>
              <w:rPr>
                <w:b/>
                <w:bCs/>
              </w:rPr>
            </w:pPr>
            <w:r>
              <w:rPr>
                <w:b/>
                <w:bCs/>
              </w:rPr>
              <w:t>Marzo 2014</w:t>
            </w:r>
          </w:p>
        </w:tc>
        <w:tc>
          <w:tcPr>
            <w:tcW w:w="21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0250B" w:rsidRDefault="00F0250B">
            <w:pPr>
              <w:spacing w:after="0"/>
              <w:jc w:val="right"/>
            </w:pPr>
            <w:r>
              <w:t>Credito al consumo</w:t>
            </w:r>
          </w:p>
        </w:tc>
        <w:tc>
          <w:tcPr>
            <w:tcW w:w="1567" w:type="dxa"/>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0250B" w:rsidRDefault="00F0250B">
            <w:pPr>
              <w:spacing w:after="0"/>
              <w:jc w:val="right"/>
            </w:pPr>
            <w:r>
              <w:t>7,52</w:t>
            </w:r>
          </w:p>
        </w:tc>
        <w:tc>
          <w:tcPr>
            <w:tcW w:w="1533"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0250B" w:rsidRDefault="00F0250B">
            <w:pPr>
              <w:spacing w:after="0"/>
              <w:jc w:val="right"/>
            </w:pPr>
            <w:r>
              <w:t>5,95</w:t>
            </w:r>
          </w:p>
        </w:tc>
        <w:tc>
          <w:tcPr>
            <w:tcW w:w="2512"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0250B" w:rsidRDefault="00F0250B">
            <w:pPr>
              <w:spacing w:after="0"/>
              <w:ind w:right="272"/>
              <w:jc w:val="right"/>
              <w:rPr>
                <w:b/>
                <w:bCs/>
              </w:rPr>
            </w:pPr>
            <w:r>
              <w:rPr>
                <w:b/>
                <w:bCs/>
              </w:rPr>
              <w:t>+ 157</w:t>
            </w:r>
          </w:p>
        </w:tc>
      </w:tr>
      <w:tr w:rsidR="00F0250B" w:rsidTr="00F0250B">
        <w:trPr>
          <w:gridAfter w:val="1"/>
          <w:wAfter w:w="47" w:type="dxa"/>
          <w:trHeight w:val="270"/>
          <w:jc w:val="center"/>
        </w:trPr>
        <w:tc>
          <w:tcPr>
            <w:tcW w:w="0" w:type="auto"/>
            <w:gridSpan w:val="2"/>
            <w:vMerge/>
            <w:tcBorders>
              <w:top w:val="nil"/>
              <w:left w:val="single" w:sz="8" w:space="0" w:color="auto"/>
              <w:bottom w:val="single" w:sz="18" w:space="0" w:color="auto"/>
              <w:right w:val="single" w:sz="8" w:space="0" w:color="auto"/>
            </w:tcBorders>
            <w:vAlign w:val="center"/>
            <w:hideMark/>
          </w:tcPr>
          <w:p w:rsidR="00F0250B" w:rsidRDefault="00F0250B">
            <w:pPr>
              <w:spacing w:after="0" w:line="240" w:lineRule="auto"/>
              <w:jc w:val="left"/>
              <w:rPr>
                <w:b/>
                <w:bCs/>
              </w:rPr>
            </w:pPr>
          </w:p>
        </w:tc>
        <w:tc>
          <w:tcPr>
            <w:tcW w:w="2123" w:type="dxa"/>
            <w:tcBorders>
              <w:top w:val="nil"/>
              <w:left w:val="nil"/>
              <w:bottom w:val="single" w:sz="18" w:space="0" w:color="auto"/>
              <w:right w:val="single" w:sz="8" w:space="0" w:color="auto"/>
            </w:tcBorders>
            <w:shd w:val="clear" w:color="auto" w:fill="FFFFFF"/>
            <w:tcMar>
              <w:top w:w="0" w:type="dxa"/>
              <w:left w:w="108" w:type="dxa"/>
              <w:bottom w:w="0" w:type="dxa"/>
              <w:right w:w="108" w:type="dxa"/>
            </w:tcMar>
            <w:vAlign w:val="center"/>
            <w:hideMark/>
          </w:tcPr>
          <w:p w:rsidR="00F0250B" w:rsidRDefault="00F0250B">
            <w:pPr>
              <w:spacing w:after="0"/>
              <w:jc w:val="right"/>
            </w:pPr>
            <w:r>
              <w:t>Mutui</w:t>
            </w:r>
          </w:p>
        </w:tc>
        <w:tc>
          <w:tcPr>
            <w:tcW w:w="1567" w:type="dxa"/>
            <w:gridSpan w:val="5"/>
            <w:tcBorders>
              <w:top w:val="nil"/>
              <w:left w:val="nil"/>
              <w:bottom w:val="single" w:sz="18" w:space="0" w:color="auto"/>
              <w:right w:val="single" w:sz="8" w:space="0" w:color="auto"/>
            </w:tcBorders>
            <w:shd w:val="clear" w:color="auto" w:fill="FFFFFF"/>
            <w:tcMar>
              <w:top w:w="0" w:type="dxa"/>
              <w:left w:w="108" w:type="dxa"/>
              <w:bottom w:w="0" w:type="dxa"/>
              <w:right w:w="108" w:type="dxa"/>
            </w:tcMar>
            <w:vAlign w:val="center"/>
            <w:hideMark/>
          </w:tcPr>
          <w:p w:rsidR="00F0250B" w:rsidRDefault="00F0250B">
            <w:pPr>
              <w:spacing w:after="0"/>
              <w:jc w:val="right"/>
            </w:pPr>
            <w:r>
              <w:t>4,62</w:t>
            </w:r>
          </w:p>
        </w:tc>
        <w:tc>
          <w:tcPr>
            <w:tcW w:w="1533" w:type="dxa"/>
            <w:gridSpan w:val="3"/>
            <w:tcBorders>
              <w:top w:val="nil"/>
              <w:left w:val="nil"/>
              <w:bottom w:val="single" w:sz="18" w:space="0" w:color="auto"/>
              <w:right w:val="single" w:sz="8" w:space="0" w:color="auto"/>
            </w:tcBorders>
            <w:shd w:val="clear" w:color="auto" w:fill="FFFFFF"/>
            <w:tcMar>
              <w:top w:w="0" w:type="dxa"/>
              <w:left w:w="108" w:type="dxa"/>
              <w:bottom w:w="0" w:type="dxa"/>
              <w:right w:w="108" w:type="dxa"/>
            </w:tcMar>
            <w:vAlign w:val="center"/>
            <w:hideMark/>
          </w:tcPr>
          <w:p w:rsidR="00F0250B" w:rsidRDefault="00F0250B">
            <w:pPr>
              <w:spacing w:after="0"/>
              <w:jc w:val="right"/>
            </w:pPr>
            <w:r>
              <w:t>3,23</w:t>
            </w:r>
          </w:p>
        </w:tc>
        <w:tc>
          <w:tcPr>
            <w:tcW w:w="2512" w:type="dxa"/>
            <w:gridSpan w:val="3"/>
            <w:tcBorders>
              <w:top w:val="nil"/>
              <w:left w:val="nil"/>
              <w:bottom w:val="single" w:sz="18" w:space="0" w:color="auto"/>
              <w:right w:val="single" w:sz="8" w:space="0" w:color="auto"/>
            </w:tcBorders>
            <w:shd w:val="clear" w:color="auto" w:fill="FFFFFF"/>
            <w:tcMar>
              <w:top w:w="0" w:type="dxa"/>
              <w:left w:w="108" w:type="dxa"/>
              <w:bottom w:w="0" w:type="dxa"/>
              <w:right w:w="108" w:type="dxa"/>
            </w:tcMar>
            <w:vAlign w:val="center"/>
            <w:hideMark/>
          </w:tcPr>
          <w:p w:rsidR="00F0250B" w:rsidRDefault="00F0250B">
            <w:pPr>
              <w:spacing w:after="0"/>
              <w:ind w:right="272"/>
              <w:jc w:val="right"/>
              <w:rPr>
                <w:b/>
                <w:bCs/>
              </w:rPr>
            </w:pPr>
            <w:r>
              <w:rPr>
                <w:b/>
                <w:bCs/>
              </w:rPr>
              <w:t>+139</w:t>
            </w:r>
          </w:p>
        </w:tc>
      </w:tr>
      <w:tr w:rsidR="00F0250B" w:rsidTr="00F0250B">
        <w:trPr>
          <w:jc w:val="center"/>
        </w:trPr>
        <w:tc>
          <w:tcPr>
            <w:tcW w:w="1490" w:type="dxa"/>
            <w:vAlign w:val="center"/>
            <w:hideMark/>
          </w:tcPr>
          <w:p w:rsidR="00F0250B" w:rsidRDefault="00F0250B">
            <w:pPr>
              <w:spacing w:after="0" w:line="240" w:lineRule="auto"/>
              <w:jc w:val="left"/>
              <w:rPr>
                <w:rFonts w:ascii="Times New Roman" w:eastAsia="Times New Roman" w:hAnsi="Times New Roman"/>
                <w:sz w:val="20"/>
                <w:szCs w:val="20"/>
                <w:lang w:eastAsia="it-IT"/>
              </w:rPr>
            </w:pPr>
          </w:p>
        </w:tc>
        <w:tc>
          <w:tcPr>
            <w:tcW w:w="64" w:type="dxa"/>
            <w:vAlign w:val="center"/>
            <w:hideMark/>
          </w:tcPr>
          <w:p w:rsidR="00F0250B" w:rsidRDefault="00F0250B">
            <w:pPr>
              <w:spacing w:after="0" w:line="240" w:lineRule="auto"/>
              <w:jc w:val="left"/>
              <w:rPr>
                <w:rFonts w:ascii="Times New Roman" w:eastAsia="Times New Roman" w:hAnsi="Times New Roman"/>
                <w:sz w:val="20"/>
                <w:szCs w:val="20"/>
                <w:lang w:eastAsia="it-IT"/>
              </w:rPr>
            </w:pPr>
          </w:p>
        </w:tc>
        <w:tc>
          <w:tcPr>
            <w:tcW w:w="2151" w:type="dxa"/>
            <w:gridSpan w:val="2"/>
            <w:vAlign w:val="center"/>
            <w:hideMark/>
          </w:tcPr>
          <w:p w:rsidR="00F0250B" w:rsidRDefault="00F0250B">
            <w:pPr>
              <w:spacing w:after="0" w:line="240" w:lineRule="auto"/>
              <w:jc w:val="left"/>
              <w:rPr>
                <w:rFonts w:ascii="Times New Roman" w:eastAsia="Times New Roman" w:hAnsi="Times New Roman"/>
                <w:sz w:val="20"/>
                <w:szCs w:val="20"/>
                <w:lang w:eastAsia="it-IT"/>
              </w:rPr>
            </w:pPr>
          </w:p>
        </w:tc>
        <w:tc>
          <w:tcPr>
            <w:tcW w:w="31" w:type="dxa"/>
            <w:vAlign w:val="center"/>
            <w:hideMark/>
          </w:tcPr>
          <w:p w:rsidR="00F0250B" w:rsidRDefault="00F0250B">
            <w:pPr>
              <w:spacing w:after="0" w:line="240" w:lineRule="auto"/>
              <w:jc w:val="left"/>
              <w:rPr>
                <w:rFonts w:ascii="Times New Roman" w:eastAsia="Times New Roman" w:hAnsi="Times New Roman"/>
                <w:sz w:val="20"/>
                <w:szCs w:val="20"/>
                <w:lang w:eastAsia="it-IT"/>
              </w:rPr>
            </w:pPr>
          </w:p>
        </w:tc>
        <w:tc>
          <w:tcPr>
            <w:tcW w:w="1180" w:type="dxa"/>
            <w:vAlign w:val="center"/>
            <w:hideMark/>
          </w:tcPr>
          <w:p w:rsidR="00F0250B" w:rsidRDefault="00F0250B">
            <w:pPr>
              <w:spacing w:after="0" w:line="240" w:lineRule="auto"/>
              <w:jc w:val="left"/>
              <w:rPr>
                <w:rFonts w:ascii="Times New Roman" w:eastAsia="Times New Roman" w:hAnsi="Times New Roman"/>
                <w:sz w:val="20"/>
                <w:szCs w:val="20"/>
                <w:lang w:eastAsia="it-IT"/>
              </w:rPr>
            </w:pPr>
          </w:p>
        </w:tc>
        <w:tc>
          <w:tcPr>
            <w:tcW w:w="377" w:type="dxa"/>
            <w:gridSpan w:val="3"/>
            <w:vAlign w:val="center"/>
            <w:hideMark/>
          </w:tcPr>
          <w:p w:rsidR="00F0250B" w:rsidRDefault="00F0250B">
            <w:pPr>
              <w:spacing w:after="0" w:line="240" w:lineRule="auto"/>
              <w:jc w:val="left"/>
              <w:rPr>
                <w:rFonts w:ascii="Times New Roman" w:eastAsia="Times New Roman" w:hAnsi="Times New Roman"/>
                <w:sz w:val="20"/>
                <w:szCs w:val="20"/>
                <w:lang w:eastAsia="it-IT"/>
              </w:rPr>
            </w:pPr>
          </w:p>
        </w:tc>
        <w:tc>
          <w:tcPr>
            <w:tcW w:w="1341" w:type="dxa"/>
            <w:vAlign w:val="center"/>
            <w:hideMark/>
          </w:tcPr>
          <w:p w:rsidR="00F0250B" w:rsidRDefault="00F0250B">
            <w:pPr>
              <w:spacing w:after="0" w:line="240" w:lineRule="auto"/>
              <w:jc w:val="left"/>
              <w:rPr>
                <w:rFonts w:ascii="Times New Roman" w:eastAsia="Times New Roman" w:hAnsi="Times New Roman"/>
                <w:sz w:val="20"/>
                <w:szCs w:val="20"/>
                <w:lang w:eastAsia="it-IT"/>
              </w:rPr>
            </w:pPr>
          </w:p>
        </w:tc>
        <w:tc>
          <w:tcPr>
            <w:tcW w:w="192" w:type="dxa"/>
            <w:gridSpan w:val="3"/>
            <w:vAlign w:val="center"/>
            <w:hideMark/>
          </w:tcPr>
          <w:p w:rsidR="00F0250B" w:rsidRDefault="00F0250B">
            <w:pPr>
              <w:spacing w:after="0" w:line="240" w:lineRule="auto"/>
              <w:jc w:val="left"/>
              <w:rPr>
                <w:rFonts w:ascii="Times New Roman" w:eastAsia="Times New Roman" w:hAnsi="Times New Roman"/>
                <w:sz w:val="20"/>
                <w:szCs w:val="20"/>
                <w:lang w:eastAsia="it-IT"/>
              </w:rPr>
            </w:pPr>
          </w:p>
        </w:tc>
        <w:tc>
          <w:tcPr>
            <w:tcW w:w="2510" w:type="dxa"/>
            <w:gridSpan w:val="2"/>
            <w:vAlign w:val="center"/>
            <w:hideMark/>
          </w:tcPr>
          <w:p w:rsidR="00F0250B" w:rsidRDefault="00F0250B">
            <w:pPr>
              <w:spacing w:after="0" w:line="240" w:lineRule="auto"/>
              <w:jc w:val="left"/>
              <w:rPr>
                <w:rFonts w:ascii="Times New Roman" w:eastAsia="Times New Roman" w:hAnsi="Times New Roman"/>
                <w:sz w:val="20"/>
                <w:szCs w:val="20"/>
                <w:lang w:eastAsia="it-IT"/>
              </w:rPr>
            </w:pPr>
          </w:p>
        </w:tc>
      </w:tr>
    </w:tbl>
    <w:p w:rsidR="00F0250B" w:rsidRDefault="00F0250B" w:rsidP="00F0250B">
      <w:pPr>
        <w:pStyle w:val="Nessunaspaziatura"/>
        <w:ind w:left="0"/>
      </w:pPr>
      <w:r>
        <w:t>                      </w:t>
      </w:r>
    </w:p>
    <w:p w:rsidR="00F0250B" w:rsidRDefault="00F0250B" w:rsidP="00F0250B">
      <w:pPr>
        <w:pStyle w:val="Nessunaspaziatura"/>
        <w:ind w:left="0"/>
      </w:pPr>
      <w:r>
        <w:t>   </w:t>
      </w:r>
      <w:r>
        <w:t xml:space="preserve">                          </w:t>
      </w:r>
      <w:bookmarkStart w:id="0" w:name="_GoBack"/>
      <w:bookmarkEnd w:id="0"/>
      <w:r>
        <w:t xml:space="preserve">  Elio Lannutti (Adusbef) – Rosario </w:t>
      </w:r>
      <w:proofErr w:type="spellStart"/>
      <w:r>
        <w:t>Trefiletti</w:t>
      </w:r>
      <w:proofErr w:type="spellEnd"/>
      <w:r>
        <w:t xml:space="preserve"> (Federconsumatori)</w:t>
      </w:r>
    </w:p>
    <w:p w:rsidR="00F0250B" w:rsidRDefault="00F0250B" w:rsidP="00F0250B">
      <w:pPr>
        <w:pStyle w:val="Nessunaspaziatura"/>
        <w:ind w:left="0"/>
      </w:pPr>
      <w:r>
        <w:t xml:space="preserve">Roma, 5.6.2014 </w:t>
      </w:r>
    </w:p>
    <w:p w:rsidR="00C200C3" w:rsidRDefault="00C200C3"/>
    <w:sectPr w:rsidR="00C200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50B"/>
    <w:rsid w:val="00073741"/>
    <w:rsid w:val="00130235"/>
    <w:rsid w:val="001A3C40"/>
    <w:rsid w:val="001D07B7"/>
    <w:rsid w:val="001D0D71"/>
    <w:rsid w:val="002E4C34"/>
    <w:rsid w:val="00370059"/>
    <w:rsid w:val="00424BEE"/>
    <w:rsid w:val="004B0A7D"/>
    <w:rsid w:val="004B75D8"/>
    <w:rsid w:val="004F322C"/>
    <w:rsid w:val="005057D6"/>
    <w:rsid w:val="00535F48"/>
    <w:rsid w:val="005F3BF0"/>
    <w:rsid w:val="00632BCB"/>
    <w:rsid w:val="007339EC"/>
    <w:rsid w:val="00754201"/>
    <w:rsid w:val="00873879"/>
    <w:rsid w:val="0094402A"/>
    <w:rsid w:val="0098615F"/>
    <w:rsid w:val="009B4EA1"/>
    <w:rsid w:val="00A42182"/>
    <w:rsid w:val="00B03057"/>
    <w:rsid w:val="00B35AE5"/>
    <w:rsid w:val="00B90F78"/>
    <w:rsid w:val="00C200C3"/>
    <w:rsid w:val="00C55771"/>
    <w:rsid w:val="00C76E16"/>
    <w:rsid w:val="00C848D3"/>
    <w:rsid w:val="00D05D56"/>
    <w:rsid w:val="00D07FAE"/>
    <w:rsid w:val="00D136AC"/>
    <w:rsid w:val="00D709E1"/>
    <w:rsid w:val="00DB5BBF"/>
    <w:rsid w:val="00E612FB"/>
    <w:rsid w:val="00EE7D98"/>
    <w:rsid w:val="00F0250B"/>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0250B"/>
    <w:pPr>
      <w:spacing w:before="0" w:after="200" w:line="276" w:lineRule="auto"/>
    </w:pPr>
    <w:rPr>
      <w:bCs w:val="0"/>
      <w:iCs w:val="0"/>
      <w:kern w:val="0"/>
    </w:rPr>
  </w:style>
  <w:style w:type="paragraph" w:styleId="Titolo1">
    <w:name w:val="heading 1"/>
    <w:basedOn w:val="Normale"/>
    <w:link w:val="Titolo1Carattere"/>
    <w:uiPriority w:val="9"/>
    <w:qFormat/>
    <w:rsid w:val="00535F48"/>
    <w:pPr>
      <w:keepNext/>
      <w:spacing w:before="240" w:after="60" w:line="240" w:lineRule="auto"/>
      <w:ind w:left="480" w:right="34"/>
      <w:jc w:val="center"/>
      <w:outlineLvl w:val="0"/>
    </w:pPr>
    <w:rPr>
      <w:rFonts w:cs="Century Gothic"/>
      <w:b/>
      <w:bCs/>
      <w:color w:val="17365D" w:themeColor="text2" w:themeShade="BF"/>
      <w:sz w:val="32"/>
      <w:szCs w:val="32"/>
      <w:lang w:eastAsia="it-IT"/>
    </w:rPr>
  </w:style>
  <w:style w:type="paragraph" w:styleId="Titolo2">
    <w:name w:val="heading 2"/>
    <w:basedOn w:val="Normale"/>
    <w:link w:val="Titolo2Carattere"/>
    <w:qFormat/>
    <w:rsid w:val="00535F48"/>
    <w:pPr>
      <w:keepNext/>
      <w:spacing w:before="240" w:after="60" w:line="240" w:lineRule="auto"/>
      <w:jc w:val="center"/>
      <w:outlineLvl w:val="1"/>
    </w:pPr>
    <w:rPr>
      <w:rFonts w:eastAsiaTheme="minorEastAsia" w:cs="Century Gothic"/>
      <w:b/>
      <w:bCs/>
      <w:iCs/>
      <w:color w:val="17365D" w:themeColor="text2" w:themeShade="BF"/>
      <w:kern w:val="36"/>
      <w:sz w:val="28"/>
      <w:szCs w:val="16"/>
      <w:lang w:eastAsia="it-IT"/>
    </w:rPr>
  </w:style>
  <w:style w:type="paragraph" w:styleId="Titolo3">
    <w:name w:val="heading 3"/>
    <w:basedOn w:val="Normale"/>
    <w:link w:val="Titolo3Carattere"/>
    <w:uiPriority w:val="9"/>
    <w:qFormat/>
    <w:rsid w:val="00535F48"/>
    <w:pPr>
      <w:keepNext/>
      <w:spacing w:before="240" w:after="60" w:line="240" w:lineRule="auto"/>
      <w:jc w:val="center"/>
      <w:outlineLvl w:val="2"/>
    </w:pPr>
    <w:rPr>
      <w:rFonts w:cs="Century Gothic"/>
      <w:b/>
      <w:bCs/>
      <w:color w:val="17365D" w:themeColor="text2" w:themeShade="BF"/>
      <w:sz w:val="24"/>
      <w:szCs w:val="24"/>
      <w:lang w:eastAsia="it-IT"/>
    </w:rPr>
  </w:style>
  <w:style w:type="paragraph" w:styleId="Titolo4">
    <w:name w:val="heading 4"/>
    <w:basedOn w:val="Normale"/>
    <w:link w:val="Titolo4Carattere"/>
    <w:uiPriority w:val="9"/>
    <w:qFormat/>
    <w:rsid w:val="00535F48"/>
    <w:pPr>
      <w:keepNext/>
      <w:spacing w:before="240" w:after="60" w:line="240" w:lineRule="auto"/>
      <w:jc w:val="left"/>
      <w:outlineLvl w:val="3"/>
    </w:pPr>
    <w:rPr>
      <w:b/>
      <w:bCs/>
      <w:color w:val="17365D" w:themeColor="text2" w:themeShade="BF"/>
      <w:sz w:val="24"/>
      <w:szCs w:val="28"/>
      <w:lang w:eastAsia="it-IT"/>
    </w:rPr>
  </w:style>
  <w:style w:type="paragraph" w:styleId="Titolo6">
    <w:name w:val="heading 6"/>
    <w:basedOn w:val="Normale"/>
    <w:link w:val="Titolo6Carattere"/>
    <w:uiPriority w:val="9"/>
    <w:qFormat/>
    <w:rsid w:val="00130235"/>
    <w:pPr>
      <w:spacing w:before="240" w:after="60" w:line="240" w:lineRule="auto"/>
      <w:outlineLvl w:val="5"/>
    </w:pPr>
    <w:rPr>
      <w:rFonts w:ascii="Times New Roman" w:hAnsi="Times New Roman"/>
      <w:b/>
      <w:bCs/>
      <w:color w:val="17365D" w:themeColor="text2" w:themeShade="BF"/>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line="240" w:lineRule="auto"/>
    </w:pPr>
    <w:rPr>
      <w:rFonts w:eastAsia="Times New Roman" w:cs="Century Gothic"/>
      <w:bCs/>
      <w:iCs/>
      <w:color w:val="17365D" w:themeColor="text2" w:themeShade="BF"/>
      <w:kern w:val="36"/>
      <w:sz w:val="24"/>
      <w:szCs w:val="24"/>
      <w:lang w:eastAsia="it-IT"/>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line="240" w:lineRule="auto"/>
      <w:jc w:val="center"/>
    </w:pPr>
    <w:rPr>
      <w:rFonts w:cs="Arial"/>
      <w:b/>
      <w:bCs/>
      <w:color w:val="17365D" w:themeColor="text2" w:themeShade="BF"/>
      <w:sz w:val="34"/>
      <w:szCs w:val="32"/>
      <w:lang w:eastAsia="it-IT"/>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spacing w:before="120" w:after="120" w:line="240" w:lineRule="auto"/>
      <w:ind w:left="600" w:firstLine="567"/>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before="120" w:after="120" w:line="240" w:lineRule="auto"/>
      <w:ind w:right="-2"/>
    </w:pPr>
    <w:rPr>
      <w:color w:val="17365D" w:themeColor="text2" w:themeShade="BF"/>
      <w:sz w:val="24"/>
      <w:szCs w:val="24"/>
      <w:lang w:eastAsia="it-IT"/>
    </w:rPr>
  </w:style>
  <w:style w:type="paragraph" w:styleId="Sommario3">
    <w:name w:val="toc 3"/>
    <w:basedOn w:val="Normale"/>
    <w:autoRedefine/>
    <w:uiPriority w:val="39"/>
    <w:semiHidden/>
    <w:unhideWhenUsed/>
    <w:rsid w:val="00130235"/>
    <w:pPr>
      <w:spacing w:before="120" w:after="120" w:line="240" w:lineRule="auto"/>
      <w:ind w:left="440"/>
    </w:pPr>
    <w:rPr>
      <w:rFonts w:ascii="Times New Roman" w:hAnsi="Times New Roman"/>
      <w:color w:val="17365D" w:themeColor="text2" w:themeShade="BF"/>
      <w:sz w:val="24"/>
      <w:szCs w:val="24"/>
      <w:lang w:eastAsia="it-IT"/>
    </w:rPr>
  </w:style>
  <w:style w:type="paragraph" w:styleId="Testonotaapidipagina">
    <w:name w:val="footnote text"/>
    <w:basedOn w:val="Normale"/>
    <w:link w:val="TestonotaapidipaginaCarattere"/>
    <w:uiPriority w:val="99"/>
    <w:semiHidden/>
    <w:unhideWhenUsed/>
    <w:rsid w:val="00130235"/>
    <w:pPr>
      <w:spacing w:before="120" w:after="120" w:line="240" w:lineRule="auto"/>
    </w:pPr>
    <w:rPr>
      <w:rFonts w:ascii="Times New Roman" w:hAnsi="Times New Roman"/>
      <w:color w:val="17365D" w:themeColor="text2" w:themeShade="BF"/>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before="120" w:after="120" w:line="240" w:lineRule="auto"/>
    </w:pPr>
    <w:rPr>
      <w:rFonts w:ascii="Times New Roman" w:hAnsi="Times New Roman"/>
      <w:color w:val="17365D" w:themeColor="text2" w:themeShade="BF"/>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before="120" w:after="120" w:line="240" w:lineRule="auto"/>
    </w:pPr>
    <w:rPr>
      <w:rFonts w:ascii="Times New Roman" w:hAnsi="Times New Roman"/>
      <w:color w:val="17365D" w:themeColor="text2" w:themeShade="BF"/>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before="120" w:after="120" w:line="240" w:lineRule="auto"/>
    </w:pPr>
    <w:rPr>
      <w:color w:val="17365D" w:themeColor="text2" w:themeShade="BF"/>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before="120" w:after="120" w:line="240" w:lineRule="auto"/>
      <w:ind w:left="480"/>
    </w:pPr>
    <w:rPr>
      <w:color w:val="FF0000"/>
      <w:sz w:val="18"/>
      <w:szCs w:val="18"/>
      <w:lang w:eastAsia="it-IT"/>
    </w:rPr>
  </w:style>
  <w:style w:type="paragraph" w:styleId="Testonormale">
    <w:name w:val="Plain Text"/>
    <w:basedOn w:val="Normale"/>
    <w:link w:val="TestonormaleCarattere"/>
    <w:uiPriority w:val="99"/>
    <w:semiHidden/>
    <w:unhideWhenUsed/>
    <w:rsid w:val="00130235"/>
    <w:pPr>
      <w:spacing w:before="120" w:after="120" w:line="240" w:lineRule="auto"/>
    </w:pPr>
    <w:rPr>
      <w:rFonts w:ascii="Calibri" w:hAnsi="Calibri"/>
      <w:color w:val="17365D" w:themeColor="text2" w:themeShade="BF"/>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before="120" w:after="120" w:line="240" w:lineRule="auto"/>
    </w:pPr>
    <w:rPr>
      <w:rFonts w:ascii="Tahoma" w:hAnsi="Tahoma" w:cs="Tahoma"/>
      <w:color w:val="17365D" w:themeColor="text2" w:themeShade="BF"/>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before="120" w:after="120" w:line="240" w:lineRule="auto"/>
      <w:ind w:left="2160"/>
    </w:pPr>
    <w:rPr>
      <w:color w:val="0F243E"/>
      <w:sz w:val="24"/>
      <w:szCs w:val="24"/>
      <w:lang w:eastAsia="it-IT"/>
    </w:rPr>
  </w:style>
  <w:style w:type="paragraph" w:styleId="Paragrafoelenco">
    <w:name w:val="List Paragraph"/>
    <w:basedOn w:val="Normale"/>
    <w:uiPriority w:val="34"/>
    <w:qFormat/>
    <w:rsid w:val="00130235"/>
    <w:pPr>
      <w:spacing w:before="120" w:after="120" w:line="240" w:lineRule="auto"/>
      <w:ind w:left="720"/>
    </w:pPr>
    <w:rPr>
      <w:color w:val="17365D" w:themeColor="text2" w:themeShade="BF"/>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0250B"/>
    <w:pPr>
      <w:spacing w:before="0" w:after="200" w:line="276" w:lineRule="auto"/>
    </w:pPr>
    <w:rPr>
      <w:bCs w:val="0"/>
      <w:iCs w:val="0"/>
      <w:kern w:val="0"/>
    </w:rPr>
  </w:style>
  <w:style w:type="paragraph" w:styleId="Titolo1">
    <w:name w:val="heading 1"/>
    <w:basedOn w:val="Normale"/>
    <w:link w:val="Titolo1Carattere"/>
    <w:uiPriority w:val="9"/>
    <w:qFormat/>
    <w:rsid w:val="00535F48"/>
    <w:pPr>
      <w:keepNext/>
      <w:spacing w:before="240" w:after="60" w:line="240" w:lineRule="auto"/>
      <w:ind w:left="480" w:right="34"/>
      <w:jc w:val="center"/>
      <w:outlineLvl w:val="0"/>
    </w:pPr>
    <w:rPr>
      <w:rFonts w:cs="Century Gothic"/>
      <w:b/>
      <w:bCs/>
      <w:color w:val="17365D" w:themeColor="text2" w:themeShade="BF"/>
      <w:sz w:val="32"/>
      <w:szCs w:val="32"/>
      <w:lang w:eastAsia="it-IT"/>
    </w:rPr>
  </w:style>
  <w:style w:type="paragraph" w:styleId="Titolo2">
    <w:name w:val="heading 2"/>
    <w:basedOn w:val="Normale"/>
    <w:link w:val="Titolo2Carattere"/>
    <w:qFormat/>
    <w:rsid w:val="00535F48"/>
    <w:pPr>
      <w:keepNext/>
      <w:spacing w:before="240" w:after="60" w:line="240" w:lineRule="auto"/>
      <w:jc w:val="center"/>
      <w:outlineLvl w:val="1"/>
    </w:pPr>
    <w:rPr>
      <w:rFonts w:eastAsiaTheme="minorEastAsia" w:cs="Century Gothic"/>
      <w:b/>
      <w:bCs/>
      <w:iCs/>
      <w:color w:val="17365D" w:themeColor="text2" w:themeShade="BF"/>
      <w:kern w:val="36"/>
      <w:sz w:val="28"/>
      <w:szCs w:val="16"/>
      <w:lang w:eastAsia="it-IT"/>
    </w:rPr>
  </w:style>
  <w:style w:type="paragraph" w:styleId="Titolo3">
    <w:name w:val="heading 3"/>
    <w:basedOn w:val="Normale"/>
    <w:link w:val="Titolo3Carattere"/>
    <w:uiPriority w:val="9"/>
    <w:qFormat/>
    <w:rsid w:val="00535F48"/>
    <w:pPr>
      <w:keepNext/>
      <w:spacing w:before="240" w:after="60" w:line="240" w:lineRule="auto"/>
      <w:jc w:val="center"/>
      <w:outlineLvl w:val="2"/>
    </w:pPr>
    <w:rPr>
      <w:rFonts w:cs="Century Gothic"/>
      <w:b/>
      <w:bCs/>
      <w:color w:val="17365D" w:themeColor="text2" w:themeShade="BF"/>
      <w:sz w:val="24"/>
      <w:szCs w:val="24"/>
      <w:lang w:eastAsia="it-IT"/>
    </w:rPr>
  </w:style>
  <w:style w:type="paragraph" w:styleId="Titolo4">
    <w:name w:val="heading 4"/>
    <w:basedOn w:val="Normale"/>
    <w:link w:val="Titolo4Carattere"/>
    <w:uiPriority w:val="9"/>
    <w:qFormat/>
    <w:rsid w:val="00535F48"/>
    <w:pPr>
      <w:keepNext/>
      <w:spacing w:before="240" w:after="60" w:line="240" w:lineRule="auto"/>
      <w:jc w:val="left"/>
      <w:outlineLvl w:val="3"/>
    </w:pPr>
    <w:rPr>
      <w:b/>
      <w:bCs/>
      <w:color w:val="17365D" w:themeColor="text2" w:themeShade="BF"/>
      <w:sz w:val="24"/>
      <w:szCs w:val="28"/>
      <w:lang w:eastAsia="it-IT"/>
    </w:rPr>
  </w:style>
  <w:style w:type="paragraph" w:styleId="Titolo6">
    <w:name w:val="heading 6"/>
    <w:basedOn w:val="Normale"/>
    <w:link w:val="Titolo6Carattere"/>
    <w:uiPriority w:val="9"/>
    <w:qFormat/>
    <w:rsid w:val="00130235"/>
    <w:pPr>
      <w:spacing w:before="240" w:after="60" w:line="240" w:lineRule="auto"/>
      <w:outlineLvl w:val="5"/>
    </w:pPr>
    <w:rPr>
      <w:rFonts w:ascii="Times New Roman" w:hAnsi="Times New Roman"/>
      <w:b/>
      <w:bCs/>
      <w:color w:val="17365D" w:themeColor="text2" w:themeShade="BF"/>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line="240" w:lineRule="auto"/>
    </w:pPr>
    <w:rPr>
      <w:rFonts w:eastAsia="Times New Roman" w:cs="Century Gothic"/>
      <w:bCs/>
      <w:iCs/>
      <w:color w:val="17365D" w:themeColor="text2" w:themeShade="BF"/>
      <w:kern w:val="36"/>
      <w:sz w:val="24"/>
      <w:szCs w:val="24"/>
      <w:lang w:eastAsia="it-IT"/>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line="240" w:lineRule="auto"/>
      <w:jc w:val="center"/>
    </w:pPr>
    <w:rPr>
      <w:rFonts w:cs="Arial"/>
      <w:b/>
      <w:bCs/>
      <w:color w:val="17365D" w:themeColor="text2" w:themeShade="BF"/>
      <w:sz w:val="34"/>
      <w:szCs w:val="32"/>
      <w:lang w:eastAsia="it-IT"/>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spacing w:before="120" w:after="120" w:line="240" w:lineRule="auto"/>
      <w:ind w:left="600" w:firstLine="567"/>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before="120" w:after="120" w:line="240" w:lineRule="auto"/>
      <w:ind w:right="-2"/>
    </w:pPr>
    <w:rPr>
      <w:color w:val="17365D" w:themeColor="text2" w:themeShade="BF"/>
      <w:sz w:val="24"/>
      <w:szCs w:val="24"/>
      <w:lang w:eastAsia="it-IT"/>
    </w:rPr>
  </w:style>
  <w:style w:type="paragraph" w:styleId="Sommario3">
    <w:name w:val="toc 3"/>
    <w:basedOn w:val="Normale"/>
    <w:autoRedefine/>
    <w:uiPriority w:val="39"/>
    <w:semiHidden/>
    <w:unhideWhenUsed/>
    <w:rsid w:val="00130235"/>
    <w:pPr>
      <w:spacing w:before="120" w:after="120" w:line="240" w:lineRule="auto"/>
      <w:ind w:left="440"/>
    </w:pPr>
    <w:rPr>
      <w:rFonts w:ascii="Times New Roman" w:hAnsi="Times New Roman"/>
      <w:color w:val="17365D" w:themeColor="text2" w:themeShade="BF"/>
      <w:sz w:val="24"/>
      <w:szCs w:val="24"/>
      <w:lang w:eastAsia="it-IT"/>
    </w:rPr>
  </w:style>
  <w:style w:type="paragraph" w:styleId="Testonotaapidipagina">
    <w:name w:val="footnote text"/>
    <w:basedOn w:val="Normale"/>
    <w:link w:val="TestonotaapidipaginaCarattere"/>
    <w:uiPriority w:val="99"/>
    <w:semiHidden/>
    <w:unhideWhenUsed/>
    <w:rsid w:val="00130235"/>
    <w:pPr>
      <w:spacing w:before="120" w:after="120" w:line="240" w:lineRule="auto"/>
    </w:pPr>
    <w:rPr>
      <w:rFonts w:ascii="Times New Roman" w:hAnsi="Times New Roman"/>
      <w:color w:val="17365D" w:themeColor="text2" w:themeShade="BF"/>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before="120" w:after="120" w:line="240" w:lineRule="auto"/>
    </w:pPr>
    <w:rPr>
      <w:rFonts w:ascii="Times New Roman" w:hAnsi="Times New Roman"/>
      <w:color w:val="17365D" w:themeColor="text2" w:themeShade="BF"/>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before="120" w:after="120" w:line="240" w:lineRule="auto"/>
    </w:pPr>
    <w:rPr>
      <w:rFonts w:ascii="Times New Roman" w:hAnsi="Times New Roman"/>
      <w:color w:val="17365D" w:themeColor="text2" w:themeShade="BF"/>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before="120" w:after="120" w:line="240" w:lineRule="auto"/>
    </w:pPr>
    <w:rPr>
      <w:color w:val="17365D" w:themeColor="text2" w:themeShade="BF"/>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before="120" w:after="120" w:line="240" w:lineRule="auto"/>
      <w:ind w:left="480"/>
    </w:pPr>
    <w:rPr>
      <w:color w:val="FF0000"/>
      <w:sz w:val="18"/>
      <w:szCs w:val="18"/>
      <w:lang w:eastAsia="it-IT"/>
    </w:rPr>
  </w:style>
  <w:style w:type="paragraph" w:styleId="Testonormale">
    <w:name w:val="Plain Text"/>
    <w:basedOn w:val="Normale"/>
    <w:link w:val="TestonormaleCarattere"/>
    <w:uiPriority w:val="99"/>
    <w:semiHidden/>
    <w:unhideWhenUsed/>
    <w:rsid w:val="00130235"/>
    <w:pPr>
      <w:spacing w:before="120" w:after="120" w:line="240" w:lineRule="auto"/>
    </w:pPr>
    <w:rPr>
      <w:rFonts w:ascii="Calibri" w:hAnsi="Calibri"/>
      <w:color w:val="17365D" w:themeColor="text2" w:themeShade="BF"/>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before="120" w:after="120" w:line="240" w:lineRule="auto"/>
    </w:pPr>
    <w:rPr>
      <w:rFonts w:ascii="Tahoma" w:hAnsi="Tahoma" w:cs="Tahoma"/>
      <w:color w:val="17365D" w:themeColor="text2" w:themeShade="BF"/>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before="120" w:after="120" w:line="240" w:lineRule="auto"/>
      <w:ind w:left="2160"/>
    </w:pPr>
    <w:rPr>
      <w:color w:val="0F243E"/>
      <w:sz w:val="24"/>
      <w:szCs w:val="24"/>
      <w:lang w:eastAsia="it-IT"/>
    </w:rPr>
  </w:style>
  <w:style w:type="paragraph" w:styleId="Paragrafoelenco">
    <w:name w:val="List Paragraph"/>
    <w:basedOn w:val="Normale"/>
    <w:uiPriority w:val="34"/>
    <w:qFormat/>
    <w:rsid w:val="00130235"/>
    <w:pPr>
      <w:spacing w:before="120" w:after="120" w:line="240" w:lineRule="auto"/>
      <w:ind w:left="720"/>
    </w:pPr>
    <w:rPr>
      <w:color w:val="17365D" w:themeColor="text2" w:themeShade="BF"/>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7252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519</Words>
  <Characters>2962</Characters>
  <Application>Microsoft Office Word</Application>
  <DocSecurity>0</DocSecurity>
  <Lines>24</Lines>
  <Paragraphs>6</Paragraphs>
  <ScaleCrop>false</ScaleCrop>
  <Company/>
  <LinksUpToDate>false</LinksUpToDate>
  <CharactersWithSpaces>3475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1</cp:revision>
  <dcterms:created xsi:type="dcterms:W3CDTF">2014-06-05T15:24:00Z</dcterms:created>
  <dcterms:modified xsi:type="dcterms:W3CDTF">2014-06-05T15:25:00Z</dcterms:modified>
</cp:coreProperties>
</file>