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164" w:rsidRDefault="00704164" w:rsidP="00704164">
      <w:pPr>
        <w:spacing w:after="200" w:line="276" w:lineRule="auto"/>
        <w:jc w:val="center"/>
        <w:rPr>
          <w:b/>
          <w:bCs/>
        </w:rPr>
      </w:pPr>
      <w:r>
        <w:rPr>
          <w:b/>
          <w:bCs/>
        </w:rPr>
        <w:t>COMUNICATO STAMPA</w:t>
      </w:r>
    </w:p>
    <w:p w:rsidR="00704164" w:rsidRDefault="00704164" w:rsidP="00704164">
      <w:pPr>
        <w:spacing w:line="276" w:lineRule="auto"/>
        <w:jc w:val="center"/>
        <w:rPr>
          <w:b/>
          <w:bCs/>
        </w:rPr>
      </w:pPr>
      <w:bookmarkStart w:id="0" w:name="_GoBack"/>
      <w:r>
        <w:rPr>
          <w:b/>
          <w:bCs/>
        </w:rPr>
        <w:t xml:space="preserve">CONTI ON LINE: PIU’ CONVENIENTI DEI TRADIZIONALI ED ALCUNI (POCHI) ANCHE A COSTO ZERO, SECONDO L’ISC (Indice Sintetico di Costo). </w:t>
      </w:r>
      <w:bookmarkEnd w:id="0"/>
      <w:r>
        <w:rPr>
          <w:b/>
          <w:bCs/>
        </w:rPr>
        <w:t xml:space="preserve">ISC DA ZERO A 110 EURO (+ 34,20 EURO DI BOLLI) PER LE 123 BANCHE MONITORATE, FANNO DEI PIU’ COSTOSI (110 EURO), I MENO CARI DELLA MEDIA ISC DEI CONTI TRADIZIONALI PARI A 371 EURO. ECONOMICO CONTO BANCO POSTA (30,99 EURO +10 EURO POSTAMAT) </w:t>
      </w:r>
    </w:p>
    <w:p w:rsidR="00704164" w:rsidRDefault="00704164" w:rsidP="00704164">
      <w:pPr>
        <w:spacing w:line="276" w:lineRule="auto"/>
      </w:pPr>
    </w:p>
    <w:p w:rsidR="00704164" w:rsidRDefault="00704164" w:rsidP="00704164">
      <w:pPr>
        <w:jc w:val="both"/>
      </w:pPr>
      <w:r>
        <w:t xml:space="preserve">  A dicembre 2013, secondo i dati Bankitalia, i conti gestibili per via telematica ("home e corporate banking" rispettivamente per famiglie e aziende) ammontavano a circa  23,6  milioni, (21.080.133 privati, 2.527.381 aziende). Molte aziende di credito permettono l’operatività via internet o via telefono dei conti offerti alla clientela tramite agenzia, senza differenziare i conti gestibili esclusivamente on line. E’ quindi complicato ricavare i costi dei conti correnti gestibili per via telematica. Rilevazione ulteriormente complicata dall’assenza della specifica voce d’offerta del conto corrente on line di base, che tuttavia si possono stimare in circa 10 milioni, gli utenti che hanno scelto esclusivamente conti on-line. </w:t>
      </w:r>
    </w:p>
    <w:p w:rsidR="00704164" w:rsidRDefault="00704164" w:rsidP="00704164">
      <w:pPr>
        <w:jc w:val="both"/>
      </w:pPr>
      <w:r>
        <w:t xml:space="preserve">   Adusbef  ha  monitorato i costi di 12 conti correnti on line (gestione operativa media) offerti da altrettante banche. Poiché questi conti eliminano la filiera umana degli addetti bancari, generando decine di migliaia di esuberi, risultano certamente più economici dei conti radicati materialmente in agenzia, che secondo l’ultimo monitoraggio Federconsumatori-Adusbef del marzo 2014 effettuato sul sito Patti Chiari </w:t>
      </w:r>
      <w:proofErr w:type="spellStart"/>
      <w:r>
        <w:t>dell’Abi</w:t>
      </w:r>
      <w:proofErr w:type="spellEnd"/>
      <w:r>
        <w:t xml:space="preserve">, avevano un costo medio di 371 euro, contro 114 euro delle banche europee. </w:t>
      </w:r>
    </w:p>
    <w:p w:rsidR="00704164" w:rsidRDefault="00704164" w:rsidP="00704164">
      <w:pPr>
        <w:jc w:val="both"/>
      </w:pPr>
      <w:r>
        <w:t xml:space="preserve">   La nostra rilevazione (operata consultando i siti delle singole aziende di credito) evidenzia come alcuni conti offrano una operatività completa a bassissimo prezzo, con Indice sintetico di costo pari a zero, a cominciare da </w:t>
      </w:r>
      <w:proofErr w:type="spellStart"/>
      <w:r>
        <w:t>Ingdirect</w:t>
      </w:r>
      <w:proofErr w:type="spellEnd"/>
      <w:r>
        <w:t xml:space="preserve"> (Conto Arancio), </w:t>
      </w:r>
      <w:proofErr w:type="spellStart"/>
      <w:r>
        <w:t>Webank</w:t>
      </w:r>
      <w:proofErr w:type="spellEnd"/>
      <w:r>
        <w:t xml:space="preserve"> (conto </w:t>
      </w:r>
      <w:proofErr w:type="spellStart"/>
      <w:r>
        <w:t>Webank</w:t>
      </w:r>
      <w:proofErr w:type="spellEnd"/>
      <w:r>
        <w:t xml:space="preserve">) ed  </w:t>
      </w:r>
      <w:proofErr w:type="spellStart"/>
      <w:r>
        <w:t>Hellobank</w:t>
      </w:r>
      <w:proofErr w:type="spellEnd"/>
      <w:r>
        <w:t xml:space="preserve"> (conto </w:t>
      </w:r>
      <w:proofErr w:type="spellStart"/>
      <w:r>
        <w:t>Hellomoney</w:t>
      </w:r>
      <w:proofErr w:type="spellEnd"/>
      <w:r>
        <w:t xml:space="preserve">). </w:t>
      </w:r>
    </w:p>
    <w:p w:rsidR="00704164" w:rsidRDefault="00704164" w:rsidP="00704164">
      <w:pPr>
        <w:jc w:val="both"/>
      </w:pPr>
      <w:r>
        <w:t xml:space="preserve">   Tre conti on line, offerti da  Banca Etruria, </w:t>
      </w:r>
      <w:proofErr w:type="spellStart"/>
      <w:r>
        <w:t>You</w:t>
      </w:r>
      <w:proofErr w:type="spellEnd"/>
      <w:r>
        <w:t xml:space="preserve"> Banking e BNL/</w:t>
      </w:r>
      <w:proofErr w:type="spellStart"/>
      <w:r>
        <w:t>Paribas</w:t>
      </w:r>
      <w:proofErr w:type="spellEnd"/>
      <w:r>
        <w:t xml:space="preserve"> hanno un canone annuo pari a zero, ma un ISC rispettivamente pari a 6 euro, 12,36 e 33,06 euro, secondo i fogli informativi delle stesse banche. Il conto di Che Banca, pubblicizzato come gratuito da massicce campagne pubblicitarie per alcuni mesi, ha un ISC di 48 euro, con un canone annuo pari a 24 euro.</w:t>
      </w:r>
    </w:p>
    <w:p w:rsidR="00704164" w:rsidRDefault="00704164" w:rsidP="00704164">
      <w:pPr>
        <w:jc w:val="both"/>
      </w:pPr>
      <w:r>
        <w:t xml:space="preserve">  Oltre a questo primo gruppo, altre tre banche hanno canoni annui pari a zero , ISC crescente: </w:t>
      </w:r>
    </w:p>
    <w:p w:rsidR="00704164" w:rsidRDefault="00704164" w:rsidP="00704164">
      <w:pPr>
        <w:jc w:val="both"/>
      </w:pPr>
      <w:proofErr w:type="spellStart"/>
      <w:r>
        <w:t>Cariparma</w:t>
      </w:r>
      <w:proofErr w:type="spellEnd"/>
      <w:r>
        <w:t xml:space="preserve"> “Conto Famiglia” con ISC pari a 48,99 euro, Monte dei Paschi “Conto Italiano Famiglie con operatività media” con 63,70 euro,  Banco di Sardegna “conto “Zero Net” (op. media) con 76,68 euro.</w:t>
      </w:r>
    </w:p>
    <w:p w:rsidR="00704164" w:rsidRDefault="00704164" w:rsidP="00704164">
      <w:pPr>
        <w:jc w:val="both"/>
      </w:pPr>
      <w:r>
        <w:t xml:space="preserve">Chiudono la graduatoria delle 12 banche monitorate Banca Popolare di Milano con un ISC che varia da 74 a 110 euro e Unicredit con un ISC pari a 110,70 euro. Economico anche il Conto BancoPosta, che costa 30,99 euro oltre 10 euro </w:t>
      </w:r>
      <w:proofErr w:type="spellStart"/>
      <w:r>
        <w:t>Postamat</w:t>
      </w:r>
      <w:proofErr w:type="spellEnd"/>
      <w:r>
        <w:t xml:space="preserve">, ma come recita il sito </w:t>
      </w:r>
      <w:hyperlink r:id="rId6" w:history="1">
        <w:r>
          <w:rPr>
            <w:rStyle w:val="Collegamentoipertestuale"/>
          </w:rPr>
          <w:t>http://www.poste.it/bancoposta/contobancoposta/</w:t>
        </w:r>
      </w:hyperlink>
      <w:r>
        <w:t xml:space="preserve">  è disponibile solo per i già Clienti. Offerta non più sottoscrivibile, mentre è gratuito il conto on-line.</w:t>
      </w:r>
    </w:p>
    <w:p w:rsidR="00704164" w:rsidRDefault="00704164" w:rsidP="00704164">
      <w:pPr>
        <w:jc w:val="both"/>
      </w:pPr>
      <w:r>
        <w:t>   Come per tutti i conti, occorre aggiungere il bollo nel computo dei costi. Infatti "per i conti correnti” l'imposta di 34, 20  euro (100 euro se diverso da persona fisica ) resta fissa,  mentre  risultano esenti tutti coloro che hanno meno di 5 mila euro in giacenza sul proprio conto.</w:t>
      </w:r>
    </w:p>
    <w:p w:rsidR="00704164" w:rsidRDefault="00704164" w:rsidP="00704164">
      <w:pPr>
        <w:jc w:val="both"/>
      </w:pPr>
      <w:r>
        <w:t>   Le banche quindi, agendo sui livelli di commissioni e spese,  stanno cercando di invogliare la clientela ad orientarsi verso una gestione on line dei loro rapporti bancari, particolarmente economica per gli Istituti di credito che offrono vantaggi anche per il titolare del conto (niente file, tutti i documenti sono memorizzabili e stampabili, orario continuato), ma con alcuni inconvenienti: nessuna assistenza o assistenza a costo non zero, difficoltà di gestione dei reclami, che rendono faticoso l’amministrazione dei disguidi anche per le operazioni di borsa (acquisti-vendita sui mercati) che i più esperti che scelgono di effettuare sui conti on-line. Si consideri, inoltre, l’aggredibilità dei computers destinati alla gestione del conto da parte di hackers che possono carpire codici e password con estrema facilità, se non adeguatamente protetti.</w:t>
      </w:r>
    </w:p>
    <w:p w:rsidR="00704164" w:rsidRDefault="00704164" w:rsidP="00704164">
      <w:pPr>
        <w:jc w:val="both"/>
      </w:pPr>
      <w:r>
        <w:t xml:space="preserve">Guida la classifica delle banche più care dei conti on-line, Unicredit con un </w:t>
      </w:r>
      <w:proofErr w:type="spellStart"/>
      <w:r>
        <w:t>Isc</w:t>
      </w:r>
      <w:proofErr w:type="spellEnd"/>
      <w:r>
        <w:t xml:space="preserve"> pari a 144,90 euro (110,70 euro + 34,20 bolli); seguita da Banco di Sardegna con 110,88 euro; BPM con 108,20 euro; Monte dei Paschi di Siena con 97,90 euro; </w:t>
      </w:r>
      <w:proofErr w:type="spellStart"/>
      <w:r>
        <w:t>Cariparma</w:t>
      </w:r>
      <w:proofErr w:type="spellEnd"/>
      <w:r>
        <w:t xml:space="preserve"> “Conto Famiglia” con ISC pari 97,90 euro (48,99 + 34,20 euro bolli); le meno care ING (“Conto arancio”, che offre i principali servizi a zero spese e a zero imposte);WEBANK con il “Conto </w:t>
      </w:r>
      <w:proofErr w:type="spellStart"/>
      <w:r>
        <w:t>webank</w:t>
      </w:r>
      <w:proofErr w:type="spellEnd"/>
      <w:r>
        <w:t xml:space="preserve">”; HELLOBANK con il “Conto hello </w:t>
      </w:r>
      <w:proofErr w:type="spellStart"/>
      <w:r>
        <w:t>money</w:t>
      </w:r>
      <w:proofErr w:type="spellEnd"/>
      <w:r>
        <w:t>”;BANCA ETRURIA con “Conto fico”.</w:t>
      </w:r>
    </w:p>
    <w:p w:rsidR="00704164" w:rsidRDefault="00704164" w:rsidP="00704164">
      <w:pPr>
        <w:jc w:val="both"/>
      </w:pPr>
      <w:r>
        <w:t xml:space="preserve">   Adusbef e Federconsumatori invitano ancora una volta a vigilare su costi, spese e condizioni dei conti correnti, ‘evitando di entrare in banca con il cappello in mano’, sia per confrontare l’ISC (Indice Sintetico </w:t>
      </w:r>
      <w:r>
        <w:lastRenderedPageBreak/>
        <w:t>Costi),che sui conti tradizionali ha registrato uno stillicidio di aumenti pari al 18% circa rispetto a 12 mesi prima, con una media di 371 euro, che sui conti on line.</w:t>
      </w:r>
    </w:p>
    <w:p w:rsidR="00704164" w:rsidRDefault="00704164" w:rsidP="00704164">
      <w:pPr>
        <w:jc w:val="both"/>
      </w:pPr>
      <w:r>
        <w:t>                                                                                                                                                                                                                                                                              </w:t>
      </w:r>
    </w:p>
    <w:p w:rsidR="00704164" w:rsidRDefault="00704164" w:rsidP="00704164">
      <w:pPr>
        <w:jc w:val="both"/>
      </w:pPr>
      <w:r>
        <w:t xml:space="preserve">                                                                                                                                                                                                                        Elio Lannutti (Adusbef) – Rosario </w:t>
      </w:r>
      <w:proofErr w:type="spellStart"/>
      <w:r>
        <w:t>Trefiletti</w:t>
      </w:r>
      <w:proofErr w:type="spellEnd"/>
      <w:r>
        <w:t xml:space="preserve"> (Federconsumatori)</w:t>
      </w:r>
    </w:p>
    <w:p w:rsidR="00704164" w:rsidRDefault="00704164" w:rsidP="00704164">
      <w:pPr>
        <w:jc w:val="both"/>
      </w:pPr>
    </w:p>
    <w:p w:rsidR="00704164" w:rsidRDefault="00704164" w:rsidP="00704164">
      <w:pPr>
        <w:jc w:val="both"/>
      </w:pPr>
      <w:r>
        <w:t>Roma,3 maggio 2014</w:t>
      </w:r>
    </w:p>
    <w:p w:rsidR="00704164" w:rsidRDefault="00704164" w:rsidP="00704164">
      <w:pPr>
        <w:jc w:val="both"/>
      </w:pPr>
    </w:p>
    <w:p w:rsidR="00704164" w:rsidRDefault="00704164" w:rsidP="00704164">
      <w:pPr>
        <w:spacing w:after="200" w:line="276" w:lineRule="auto"/>
        <w:ind w:left="2124" w:firstLine="708"/>
        <w:rPr>
          <w:b/>
          <w:bCs/>
          <w:sz w:val="30"/>
          <w:szCs w:val="30"/>
        </w:rPr>
      </w:pPr>
      <w:r>
        <w:rPr>
          <w:b/>
          <w:bCs/>
          <w:sz w:val="30"/>
          <w:szCs w:val="30"/>
        </w:rPr>
        <w:t>COSTI CONTI CORRENTI ONLINE</w:t>
      </w:r>
    </w:p>
    <w:p w:rsidR="00704164" w:rsidRDefault="00704164" w:rsidP="00704164">
      <w:pPr>
        <w:spacing w:after="200" w:line="276" w:lineRule="auto"/>
        <w:jc w:val="center"/>
        <w:rPr>
          <w:b/>
          <w:bCs/>
          <w:sz w:val="30"/>
          <w:szCs w:val="30"/>
        </w:rPr>
      </w:pPr>
      <w:r>
        <w:rPr>
          <w:b/>
          <w:bCs/>
          <w:sz w:val="30"/>
          <w:szCs w:val="30"/>
        </w:rPr>
        <w:t>Profilo famiglie con operatività media – rilevazione effettuata il  29/4/2014</w:t>
      </w:r>
    </w:p>
    <w:tbl>
      <w:tblPr>
        <w:tblW w:w="0" w:type="auto"/>
        <w:tblCellMar>
          <w:left w:w="0" w:type="dxa"/>
          <w:right w:w="0" w:type="dxa"/>
        </w:tblCellMar>
        <w:tblLook w:val="04A0" w:firstRow="1" w:lastRow="0" w:firstColumn="1" w:lastColumn="0" w:noHBand="0" w:noVBand="1"/>
      </w:tblPr>
      <w:tblGrid>
        <w:gridCol w:w="1769"/>
        <w:gridCol w:w="1542"/>
        <w:gridCol w:w="962"/>
        <w:gridCol w:w="1024"/>
        <w:gridCol w:w="1000"/>
        <w:gridCol w:w="1377"/>
        <w:gridCol w:w="1080"/>
        <w:gridCol w:w="1100"/>
      </w:tblGrid>
      <w:tr w:rsidR="00704164" w:rsidTr="00704164">
        <w:tc>
          <w:tcPr>
            <w:tcW w:w="18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704164" w:rsidRDefault="00704164">
            <w:pPr>
              <w:rPr>
                <w:b/>
                <w:bCs/>
                <w:sz w:val="18"/>
                <w:szCs w:val="18"/>
              </w:rPr>
            </w:pPr>
          </w:p>
          <w:p w:rsidR="00704164" w:rsidRDefault="00704164">
            <w:pPr>
              <w:rPr>
                <w:b/>
                <w:bCs/>
                <w:sz w:val="18"/>
                <w:szCs w:val="18"/>
              </w:rPr>
            </w:pPr>
          </w:p>
          <w:p w:rsidR="00704164" w:rsidRDefault="00704164">
            <w:pPr>
              <w:rPr>
                <w:b/>
                <w:bCs/>
                <w:sz w:val="18"/>
                <w:szCs w:val="18"/>
              </w:rPr>
            </w:pPr>
          </w:p>
        </w:tc>
        <w:tc>
          <w:tcPr>
            <w:tcW w:w="158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04164" w:rsidRDefault="00704164">
            <w:pPr>
              <w:rPr>
                <w:b/>
                <w:bCs/>
                <w:sz w:val="18"/>
                <w:szCs w:val="18"/>
              </w:rPr>
            </w:pPr>
            <w:r>
              <w:rPr>
                <w:b/>
                <w:bCs/>
                <w:sz w:val="18"/>
                <w:szCs w:val="18"/>
              </w:rPr>
              <w:t>Canone annuo</w:t>
            </w:r>
          </w:p>
        </w:tc>
        <w:tc>
          <w:tcPr>
            <w:tcW w:w="97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04164" w:rsidRDefault="00704164">
            <w:pPr>
              <w:rPr>
                <w:b/>
                <w:bCs/>
                <w:sz w:val="18"/>
                <w:szCs w:val="18"/>
              </w:rPr>
            </w:pPr>
            <w:r>
              <w:rPr>
                <w:b/>
                <w:bCs/>
                <w:sz w:val="18"/>
                <w:szCs w:val="18"/>
              </w:rPr>
              <w:t>ISC (indice sintetico di costo)</w:t>
            </w:r>
          </w:p>
        </w:tc>
        <w:tc>
          <w:tcPr>
            <w:tcW w:w="10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04164" w:rsidRDefault="00704164">
            <w:pPr>
              <w:rPr>
                <w:b/>
                <w:bCs/>
                <w:sz w:val="18"/>
                <w:szCs w:val="18"/>
              </w:rPr>
            </w:pPr>
            <w:r>
              <w:rPr>
                <w:b/>
                <w:bCs/>
                <w:sz w:val="18"/>
                <w:szCs w:val="18"/>
              </w:rPr>
              <w:t>Bonifici online verso la stessa banca</w:t>
            </w:r>
          </w:p>
        </w:tc>
        <w:tc>
          <w:tcPr>
            <w:tcW w:w="102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04164" w:rsidRDefault="00704164">
            <w:pPr>
              <w:rPr>
                <w:b/>
                <w:bCs/>
                <w:sz w:val="18"/>
                <w:szCs w:val="18"/>
              </w:rPr>
            </w:pPr>
            <w:r>
              <w:rPr>
                <w:b/>
                <w:bCs/>
                <w:sz w:val="18"/>
                <w:szCs w:val="18"/>
              </w:rPr>
              <w:t>Bonifici online verso altra banca</w:t>
            </w:r>
          </w:p>
        </w:tc>
        <w:tc>
          <w:tcPr>
            <w:tcW w:w="11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04164" w:rsidRDefault="00704164">
            <w:pPr>
              <w:rPr>
                <w:b/>
                <w:bCs/>
                <w:sz w:val="18"/>
                <w:szCs w:val="18"/>
              </w:rPr>
            </w:pPr>
            <w:r>
              <w:rPr>
                <w:b/>
                <w:bCs/>
                <w:sz w:val="18"/>
                <w:szCs w:val="18"/>
              </w:rPr>
              <w:t xml:space="preserve">Prelievo bancomat presso </w:t>
            </w:r>
          </w:p>
          <w:p w:rsidR="00704164" w:rsidRDefault="00704164">
            <w:pPr>
              <w:rPr>
                <w:b/>
                <w:bCs/>
                <w:sz w:val="18"/>
                <w:szCs w:val="18"/>
              </w:rPr>
            </w:pPr>
            <w:r>
              <w:rPr>
                <w:b/>
                <w:bCs/>
                <w:sz w:val="18"/>
                <w:szCs w:val="18"/>
              </w:rPr>
              <w:t>altra banca</w:t>
            </w:r>
          </w:p>
        </w:tc>
        <w:tc>
          <w:tcPr>
            <w:tcW w:w="109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04164" w:rsidRDefault="00704164">
            <w:pPr>
              <w:rPr>
                <w:b/>
                <w:bCs/>
                <w:sz w:val="18"/>
                <w:szCs w:val="18"/>
              </w:rPr>
            </w:pPr>
            <w:r>
              <w:rPr>
                <w:b/>
                <w:bCs/>
                <w:sz w:val="18"/>
                <w:szCs w:val="18"/>
              </w:rPr>
              <w:t>Bonifici allo sportello stessa banca</w:t>
            </w:r>
          </w:p>
        </w:tc>
        <w:tc>
          <w:tcPr>
            <w:tcW w:w="111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04164" w:rsidRDefault="00704164">
            <w:pPr>
              <w:rPr>
                <w:b/>
                <w:bCs/>
                <w:sz w:val="18"/>
                <w:szCs w:val="18"/>
              </w:rPr>
            </w:pPr>
            <w:r>
              <w:rPr>
                <w:b/>
                <w:bCs/>
                <w:sz w:val="18"/>
                <w:szCs w:val="18"/>
              </w:rPr>
              <w:t>Bonifici allo sportello verso altra banca</w:t>
            </w:r>
          </w:p>
        </w:tc>
      </w:tr>
      <w:tr w:rsidR="00704164" w:rsidTr="00704164">
        <w:tc>
          <w:tcPr>
            <w:tcW w:w="1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04164" w:rsidRDefault="00704164">
            <w:r>
              <w:t>INGDIRECT</w:t>
            </w:r>
          </w:p>
          <w:p w:rsidR="00704164" w:rsidRDefault="00704164">
            <w:pPr>
              <w:rPr>
                <w:sz w:val="12"/>
                <w:szCs w:val="12"/>
              </w:rPr>
            </w:pPr>
            <w:r>
              <w:rPr>
                <w:sz w:val="12"/>
                <w:szCs w:val="12"/>
              </w:rPr>
              <w:t>“Conto arancio”</w:t>
            </w:r>
          </w:p>
          <w:p w:rsidR="00704164" w:rsidRDefault="00704164">
            <w:pPr>
              <w:rPr>
                <w:sz w:val="12"/>
                <w:szCs w:val="12"/>
              </w:rPr>
            </w:pPr>
            <w:r>
              <w:rPr>
                <w:color w:val="5D5D5D"/>
                <w:sz w:val="12"/>
                <w:szCs w:val="12"/>
                <w:shd w:val="clear" w:color="auto" w:fill="FFFFFF"/>
              </w:rPr>
              <w:t>È il conto corrente che ti dà tutti i principali servizi a zero spese e a zero imposte.</w:t>
            </w:r>
          </w:p>
        </w:tc>
        <w:tc>
          <w:tcPr>
            <w:tcW w:w="1586"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b/>
                <w:bCs/>
              </w:rPr>
            </w:pPr>
            <w:r>
              <w:rPr>
                <w:rFonts w:ascii="Arial" w:hAnsi="Arial" w:cs="Arial"/>
                <w:b/>
                <w:bCs/>
                <w:sz w:val="18"/>
                <w:szCs w:val="18"/>
                <w:shd w:val="clear" w:color="auto" w:fill="FFFFFF"/>
              </w:rPr>
              <w:t>0 €</w:t>
            </w:r>
          </w:p>
        </w:tc>
        <w:tc>
          <w:tcPr>
            <w:tcW w:w="972"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hd w:val="clear" w:color="auto" w:fill="FFFFFF"/>
              </w:rPr>
            </w:pPr>
            <w:r>
              <w:rPr>
                <w:rFonts w:ascii="Arial" w:hAnsi="Arial" w:cs="Arial"/>
                <w:b/>
                <w:bCs/>
                <w:sz w:val="18"/>
                <w:szCs w:val="18"/>
                <w:shd w:val="clear" w:color="auto" w:fill="FFFFFF"/>
              </w:rPr>
              <w:t>0 €</w:t>
            </w:r>
          </w:p>
        </w:tc>
        <w:tc>
          <w:tcPr>
            <w:tcW w:w="104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0 €</w:t>
            </w:r>
          </w:p>
        </w:tc>
        <w:tc>
          <w:tcPr>
            <w:tcW w:w="1022"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0 €</w:t>
            </w:r>
          </w:p>
        </w:tc>
        <w:tc>
          <w:tcPr>
            <w:tcW w:w="119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0 €</w:t>
            </w:r>
          </w:p>
        </w:tc>
        <w:tc>
          <w:tcPr>
            <w:tcW w:w="1097"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0 €</w:t>
            </w:r>
          </w:p>
        </w:tc>
        <w:tc>
          <w:tcPr>
            <w:tcW w:w="111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0 €</w:t>
            </w:r>
          </w:p>
        </w:tc>
      </w:tr>
      <w:tr w:rsidR="00704164" w:rsidTr="00704164">
        <w:tc>
          <w:tcPr>
            <w:tcW w:w="1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04164" w:rsidRDefault="00704164">
            <w:r>
              <w:t>WEBANK</w:t>
            </w:r>
          </w:p>
          <w:p w:rsidR="00704164" w:rsidRDefault="00704164">
            <w:pPr>
              <w:rPr>
                <w:sz w:val="12"/>
                <w:szCs w:val="12"/>
              </w:rPr>
            </w:pPr>
            <w:r>
              <w:rPr>
                <w:sz w:val="12"/>
                <w:szCs w:val="12"/>
              </w:rPr>
              <w:t xml:space="preserve">“Conto </w:t>
            </w:r>
            <w:proofErr w:type="spellStart"/>
            <w:r>
              <w:rPr>
                <w:sz w:val="12"/>
                <w:szCs w:val="12"/>
              </w:rPr>
              <w:t>webank</w:t>
            </w:r>
            <w:proofErr w:type="spellEnd"/>
            <w:r>
              <w:rPr>
                <w:sz w:val="12"/>
                <w:szCs w:val="12"/>
              </w:rPr>
              <w:t>”</w:t>
            </w:r>
          </w:p>
        </w:tc>
        <w:tc>
          <w:tcPr>
            <w:tcW w:w="1586"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b/>
                <w:bCs/>
              </w:rPr>
            </w:pPr>
            <w:r>
              <w:rPr>
                <w:rFonts w:ascii="Arial" w:hAnsi="Arial" w:cs="Arial"/>
                <w:b/>
                <w:bCs/>
                <w:sz w:val="18"/>
                <w:szCs w:val="18"/>
                <w:shd w:val="clear" w:color="auto" w:fill="FFFFFF"/>
              </w:rPr>
              <w:t>0 €</w:t>
            </w:r>
          </w:p>
        </w:tc>
        <w:tc>
          <w:tcPr>
            <w:tcW w:w="972"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0 €</w:t>
            </w:r>
          </w:p>
        </w:tc>
        <w:tc>
          <w:tcPr>
            <w:tcW w:w="104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0 €</w:t>
            </w:r>
          </w:p>
        </w:tc>
        <w:tc>
          <w:tcPr>
            <w:tcW w:w="1022"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0 €</w:t>
            </w:r>
          </w:p>
        </w:tc>
        <w:tc>
          <w:tcPr>
            <w:tcW w:w="119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0 €</w:t>
            </w:r>
          </w:p>
        </w:tc>
        <w:tc>
          <w:tcPr>
            <w:tcW w:w="1097"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3,00 €</w:t>
            </w:r>
          </w:p>
        </w:tc>
        <w:tc>
          <w:tcPr>
            <w:tcW w:w="111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3,00 €</w:t>
            </w:r>
          </w:p>
        </w:tc>
      </w:tr>
      <w:tr w:rsidR="00704164" w:rsidTr="00704164">
        <w:tc>
          <w:tcPr>
            <w:tcW w:w="1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04164" w:rsidRDefault="00704164">
            <w:r>
              <w:t>HELLOBANK</w:t>
            </w:r>
          </w:p>
          <w:p w:rsidR="00704164" w:rsidRDefault="00704164">
            <w:pPr>
              <w:rPr>
                <w:sz w:val="12"/>
                <w:szCs w:val="12"/>
              </w:rPr>
            </w:pPr>
            <w:r>
              <w:rPr>
                <w:sz w:val="12"/>
                <w:szCs w:val="12"/>
              </w:rPr>
              <w:t xml:space="preserve">“Conto hello </w:t>
            </w:r>
            <w:proofErr w:type="spellStart"/>
            <w:r>
              <w:rPr>
                <w:sz w:val="12"/>
                <w:szCs w:val="12"/>
              </w:rPr>
              <w:t>money</w:t>
            </w:r>
            <w:proofErr w:type="spellEnd"/>
            <w:r>
              <w:rPr>
                <w:sz w:val="12"/>
                <w:szCs w:val="12"/>
              </w:rPr>
              <w:t>”</w:t>
            </w:r>
          </w:p>
        </w:tc>
        <w:tc>
          <w:tcPr>
            <w:tcW w:w="1586"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b/>
                <w:bCs/>
              </w:rPr>
            </w:pPr>
            <w:r>
              <w:rPr>
                <w:rFonts w:ascii="Arial" w:hAnsi="Arial" w:cs="Arial"/>
                <w:b/>
                <w:bCs/>
                <w:sz w:val="18"/>
                <w:szCs w:val="18"/>
                <w:shd w:val="clear" w:color="auto" w:fill="FFFFFF"/>
              </w:rPr>
              <w:t>0 €</w:t>
            </w:r>
          </w:p>
        </w:tc>
        <w:tc>
          <w:tcPr>
            <w:tcW w:w="972"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b/>
                <w:bCs/>
              </w:rPr>
            </w:pPr>
            <w:r>
              <w:rPr>
                <w:rFonts w:ascii="Arial" w:hAnsi="Arial" w:cs="Arial"/>
                <w:b/>
                <w:bCs/>
                <w:sz w:val="18"/>
                <w:szCs w:val="18"/>
                <w:shd w:val="clear" w:color="auto" w:fill="FFFFFF"/>
              </w:rPr>
              <w:t>0 €</w:t>
            </w:r>
          </w:p>
        </w:tc>
        <w:tc>
          <w:tcPr>
            <w:tcW w:w="104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0 €</w:t>
            </w:r>
          </w:p>
        </w:tc>
        <w:tc>
          <w:tcPr>
            <w:tcW w:w="1022"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0 €</w:t>
            </w:r>
          </w:p>
        </w:tc>
        <w:tc>
          <w:tcPr>
            <w:tcW w:w="119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0 €</w:t>
            </w:r>
          </w:p>
        </w:tc>
        <w:tc>
          <w:tcPr>
            <w:tcW w:w="1097"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3,50 €</w:t>
            </w:r>
          </w:p>
        </w:tc>
        <w:tc>
          <w:tcPr>
            <w:tcW w:w="111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4,50 €</w:t>
            </w:r>
          </w:p>
        </w:tc>
      </w:tr>
      <w:tr w:rsidR="00704164" w:rsidTr="00704164">
        <w:tc>
          <w:tcPr>
            <w:tcW w:w="1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04164" w:rsidRDefault="00704164">
            <w:r>
              <w:t>BANCA ETRURIA</w:t>
            </w:r>
          </w:p>
          <w:p w:rsidR="00704164" w:rsidRDefault="00704164">
            <w:pPr>
              <w:spacing w:line="480" w:lineRule="auto"/>
              <w:rPr>
                <w:sz w:val="12"/>
                <w:szCs w:val="12"/>
              </w:rPr>
            </w:pPr>
            <w:r>
              <w:rPr>
                <w:sz w:val="12"/>
                <w:szCs w:val="12"/>
              </w:rPr>
              <w:t>“Conto fico”</w:t>
            </w:r>
          </w:p>
        </w:tc>
        <w:tc>
          <w:tcPr>
            <w:tcW w:w="1586"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hd w:val="clear" w:color="auto" w:fill="FFFFFF"/>
              </w:rPr>
            </w:pPr>
            <w:r>
              <w:rPr>
                <w:rFonts w:ascii="Arial" w:hAnsi="Arial" w:cs="Arial"/>
                <w:b/>
                <w:bCs/>
                <w:sz w:val="18"/>
                <w:szCs w:val="18"/>
                <w:shd w:val="clear" w:color="auto" w:fill="FFFFFF"/>
              </w:rPr>
              <w:t>0 €</w:t>
            </w:r>
          </w:p>
        </w:tc>
        <w:tc>
          <w:tcPr>
            <w:tcW w:w="972"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hd w:val="clear" w:color="auto" w:fill="FFFFFF"/>
              </w:rPr>
            </w:pPr>
            <w:r>
              <w:rPr>
                <w:rFonts w:ascii="Arial" w:hAnsi="Arial" w:cs="Arial"/>
                <w:b/>
                <w:bCs/>
                <w:sz w:val="18"/>
                <w:szCs w:val="18"/>
                <w:shd w:val="clear" w:color="auto" w:fill="FFFFFF"/>
              </w:rPr>
              <w:t>6 €</w:t>
            </w:r>
          </w:p>
        </w:tc>
        <w:tc>
          <w:tcPr>
            <w:tcW w:w="1049" w:type="dxa"/>
            <w:tcBorders>
              <w:top w:val="nil"/>
              <w:left w:val="nil"/>
              <w:bottom w:val="single" w:sz="8" w:space="0" w:color="auto"/>
              <w:right w:val="single" w:sz="8" w:space="0" w:color="auto"/>
            </w:tcBorders>
            <w:tcMar>
              <w:top w:w="0" w:type="dxa"/>
              <w:left w:w="108" w:type="dxa"/>
              <w:bottom w:w="0" w:type="dxa"/>
              <w:right w:w="108" w:type="dxa"/>
            </w:tcMar>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 €</w:t>
            </w:r>
          </w:p>
          <w:p w:rsidR="00704164" w:rsidRDefault="00704164">
            <w:pPr>
              <w:rPr>
                <w:rFonts w:ascii="Arial" w:hAnsi="Arial" w:cs="Arial"/>
                <w:b/>
                <w:bCs/>
                <w:sz w:val="18"/>
                <w:szCs w:val="18"/>
                <w:shd w:val="clear" w:color="auto" w:fill="FFFFFF"/>
              </w:rPr>
            </w:pPr>
          </w:p>
        </w:tc>
        <w:tc>
          <w:tcPr>
            <w:tcW w:w="1022"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0,75 €</w:t>
            </w:r>
          </w:p>
        </w:tc>
        <w:tc>
          <w:tcPr>
            <w:tcW w:w="119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sz w:val="18"/>
                <w:szCs w:val="18"/>
                <w:shd w:val="clear" w:color="auto" w:fill="FFFFFF"/>
              </w:rPr>
            </w:pPr>
            <w:r>
              <w:rPr>
                <w:rFonts w:ascii="Arial" w:hAnsi="Arial" w:cs="Arial"/>
                <w:b/>
                <w:bCs/>
                <w:sz w:val="18"/>
                <w:szCs w:val="18"/>
                <w:shd w:val="clear" w:color="auto" w:fill="FFFFFF"/>
              </w:rPr>
              <w:t xml:space="preserve"> (10 gratis a trimestre </w:t>
            </w:r>
          </w:p>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poi 1,85 €)</w:t>
            </w:r>
          </w:p>
        </w:tc>
        <w:tc>
          <w:tcPr>
            <w:tcW w:w="1097"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0 €</w:t>
            </w:r>
          </w:p>
        </w:tc>
        <w:tc>
          <w:tcPr>
            <w:tcW w:w="111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0 €</w:t>
            </w:r>
          </w:p>
        </w:tc>
      </w:tr>
      <w:tr w:rsidR="00704164" w:rsidTr="00704164">
        <w:tc>
          <w:tcPr>
            <w:tcW w:w="1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04164" w:rsidRDefault="00704164">
            <w:pPr>
              <w:rPr>
                <w:lang w:val="en-US"/>
              </w:rPr>
            </w:pPr>
            <w:r>
              <w:rPr>
                <w:lang w:val="en-US"/>
              </w:rPr>
              <w:t>YOU BANKING</w:t>
            </w:r>
          </w:p>
          <w:p w:rsidR="00704164" w:rsidRDefault="00704164">
            <w:pPr>
              <w:rPr>
                <w:sz w:val="12"/>
                <w:szCs w:val="12"/>
                <w:lang w:val="en-US"/>
              </w:rPr>
            </w:pPr>
            <w:r>
              <w:rPr>
                <w:sz w:val="12"/>
                <w:szCs w:val="12"/>
                <w:lang w:val="en-US"/>
              </w:rPr>
              <w:t>“</w:t>
            </w:r>
            <w:proofErr w:type="spellStart"/>
            <w:r>
              <w:rPr>
                <w:sz w:val="12"/>
                <w:szCs w:val="12"/>
                <w:lang w:val="en-US"/>
              </w:rPr>
              <w:t>Conto</w:t>
            </w:r>
            <w:proofErr w:type="spellEnd"/>
            <w:r>
              <w:rPr>
                <w:sz w:val="12"/>
                <w:szCs w:val="12"/>
                <w:lang w:val="en-US"/>
              </w:rPr>
              <w:t xml:space="preserve"> </w:t>
            </w:r>
            <w:proofErr w:type="spellStart"/>
            <w:r>
              <w:rPr>
                <w:sz w:val="12"/>
                <w:szCs w:val="12"/>
                <w:lang w:val="en-US"/>
              </w:rPr>
              <w:t>corrente</w:t>
            </w:r>
            <w:proofErr w:type="spellEnd"/>
            <w:r>
              <w:rPr>
                <w:sz w:val="12"/>
                <w:szCs w:val="12"/>
                <w:lang w:val="en-US"/>
              </w:rPr>
              <w:t xml:space="preserve"> you banking”</w:t>
            </w:r>
          </w:p>
        </w:tc>
        <w:tc>
          <w:tcPr>
            <w:tcW w:w="1586"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b/>
                <w:bCs/>
              </w:rPr>
            </w:pPr>
            <w:r>
              <w:rPr>
                <w:rFonts w:ascii="Arial" w:hAnsi="Arial" w:cs="Arial"/>
                <w:b/>
                <w:bCs/>
                <w:sz w:val="18"/>
                <w:szCs w:val="18"/>
                <w:shd w:val="clear" w:color="auto" w:fill="FFFFFF"/>
              </w:rPr>
              <w:t>0 €</w:t>
            </w:r>
          </w:p>
        </w:tc>
        <w:tc>
          <w:tcPr>
            <w:tcW w:w="972" w:type="dxa"/>
            <w:tcBorders>
              <w:top w:val="nil"/>
              <w:left w:val="nil"/>
              <w:bottom w:val="single" w:sz="8" w:space="0" w:color="auto"/>
              <w:right w:val="single" w:sz="8" w:space="0" w:color="auto"/>
            </w:tcBorders>
            <w:tcMar>
              <w:top w:w="0" w:type="dxa"/>
              <w:left w:w="108" w:type="dxa"/>
              <w:bottom w:w="0" w:type="dxa"/>
              <w:right w:w="108" w:type="dxa"/>
            </w:tcMar>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12,36 €</w:t>
            </w:r>
          </w:p>
          <w:p w:rsidR="00704164" w:rsidRDefault="00704164">
            <w:pPr>
              <w:rPr>
                <w:rFonts w:ascii="Arial" w:hAnsi="Arial" w:cs="Arial"/>
                <w:b/>
                <w:bCs/>
                <w:shd w:val="clear" w:color="auto" w:fill="FFFFFF"/>
              </w:rPr>
            </w:pPr>
          </w:p>
        </w:tc>
        <w:tc>
          <w:tcPr>
            <w:tcW w:w="104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0 €</w:t>
            </w:r>
          </w:p>
        </w:tc>
        <w:tc>
          <w:tcPr>
            <w:tcW w:w="1022"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0 €</w:t>
            </w:r>
          </w:p>
        </w:tc>
        <w:tc>
          <w:tcPr>
            <w:tcW w:w="119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0 €</w:t>
            </w:r>
          </w:p>
        </w:tc>
        <w:tc>
          <w:tcPr>
            <w:tcW w:w="1097"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1,00 €</w:t>
            </w:r>
          </w:p>
        </w:tc>
        <w:tc>
          <w:tcPr>
            <w:tcW w:w="111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1,00 €</w:t>
            </w:r>
          </w:p>
        </w:tc>
      </w:tr>
      <w:tr w:rsidR="00704164" w:rsidTr="00704164">
        <w:tc>
          <w:tcPr>
            <w:tcW w:w="1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04164" w:rsidRDefault="00704164">
            <w:r>
              <w:t>BNL GRUPPOBNP PARIBAS</w:t>
            </w:r>
          </w:p>
          <w:p w:rsidR="00704164" w:rsidRDefault="00704164">
            <w:pPr>
              <w:rPr>
                <w:sz w:val="12"/>
                <w:szCs w:val="12"/>
              </w:rPr>
            </w:pPr>
            <w:r>
              <w:rPr>
                <w:sz w:val="12"/>
                <w:szCs w:val="12"/>
              </w:rPr>
              <w:t>“Conto Servizio Bancario di Base”</w:t>
            </w:r>
          </w:p>
        </w:tc>
        <w:tc>
          <w:tcPr>
            <w:tcW w:w="1586" w:type="dxa"/>
            <w:tcBorders>
              <w:top w:val="nil"/>
              <w:left w:val="nil"/>
              <w:bottom w:val="single" w:sz="8" w:space="0" w:color="auto"/>
              <w:right w:val="single" w:sz="8" w:space="0" w:color="auto"/>
            </w:tcBorders>
            <w:tcMar>
              <w:top w:w="0" w:type="dxa"/>
              <w:left w:w="108" w:type="dxa"/>
              <w:bottom w:w="0" w:type="dxa"/>
              <w:right w:w="108" w:type="dxa"/>
            </w:tcMar>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0 €</w:t>
            </w:r>
          </w:p>
          <w:p w:rsidR="00704164" w:rsidRDefault="00704164">
            <w:pPr>
              <w:rPr>
                <w:rFonts w:ascii="Arial" w:hAnsi="Arial" w:cs="Arial"/>
                <w:b/>
                <w:bCs/>
                <w:sz w:val="18"/>
                <w:szCs w:val="18"/>
                <w:shd w:val="clear" w:color="auto" w:fill="FFFFFF"/>
              </w:rPr>
            </w:pPr>
          </w:p>
        </w:tc>
        <w:tc>
          <w:tcPr>
            <w:tcW w:w="972"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xml:space="preserve">€ 33,05 </w:t>
            </w:r>
          </w:p>
        </w:tc>
        <w:tc>
          <w:tcPr>
            <w:tcW w:w="104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€ 0</w:t>
            </w:r>
          </w:p>
        </w:tc>
        <w:tc>
          <w:tcPr>
            <w:tcW w:w="1022"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€ 0</w:t>
            </w:r>
          </w:p>
        </w:tc>
        <w:tc>
          <w:tcPr>
            <w:tcW w:w="119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xml:space="preserve">€ 0 </w:t>
            </w:r>
          </w:p>
        </w:tc>
        <w:tc>
          <w:tcPr>
            <w:tcW w:w="1097"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€ 4,50</w:t>
            </w:r>
          </w:p>
        </w:tc>
        <w:tc>
          <w:tcPr>
            <w:tcW w:w="111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xml:space="preserve">€ 4,50 </w:t>
            </w:r>
          </w:p>
        </w:tc>
      </w:tr>
      <w:tr w:rsidR="00704164" w:rsidTr="00704164">
        <w:tc>
          <w:tcPr>
            <w:tcW w:w="1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04164" w:rsidRDefault="00704164">
            <w:r>
              <w:t>CHE BANCA</w:t>
            </w:r>
          </w:p>
          <w:p w:rsidR="00704164" w:rsidRDefault="00704164">
            <w:pPr>
              <w:rPr>
                <w:sz w:val="12"/>
                <w:szCs w:val="12"/>
              </w:rPr>
            </w:pPr>
            <w:r>
              <w:rPr>
                <w:sz w:val="12"/>
                <w:szCs w:val="12"/>
              </w:rPr>
              <w:t xml:space="preserve">“Conto online” con operazioni illimitate – tranne bonifici urgenti </w:t>
            </w:r>
            <w:r>
              <w:rPr>
                <w:rFonts w:ascii="Arial" w:hAnsi="Arial" w:cs="Arial"/>
                <w:b/>
                <w:bCs/>
                <w:color w:val="202020"/>
                <w:sz w:val="12"/>
                <w:szCs w:val="12"/>
                <w:shd w:val="clear" w:color="auto" w:fill="FFFFFF"/>
              </w:rPr>
              <w:t>5 €</w:t>
            </w:r>
            <w:r>
              <w:rPr>
                <w:sz w:val="12"/>
                <w:szCs w:val="12"/>
              </w:rPr>
              <w:t>  - zero spese per bollo. Opzione di assistenza in filiale</w:t>
            </w:r>
          </w:p>
        </w:tc>
        <w:tc>
          <w:tcPr>
            <w:tcW w:w="1586"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xml:space="preserve">24  € annui </w:t>
            </w:r>
          </w:p>
          <w:p w:rsidR="00704164" w:rsidRDefault="00704164">
            <w:pPr>
              <w:rPr>
                <w:sz w:val="12"/>
                <w:szCs w:val="12"/>
              </w:rPr>
            </w:pPr>
            <w:r>
              <w:rPr>
                <w:sz w:val="12"/>
                <w:szCs w:val="12"/>
              </w:rPr>
              <w:t>con opzione di assistenza in filiale</w:t>
            </w:r>
          </w:p>
          <w:p w:rsidR="00704164" w:rsidRDefault="00704164">
            <w:pPr>
              <w:rPr>
                <w:b/>
                <w:bCs/>
              </w:rPr>
            </w:pPr>
            <w:proofErr w:type="spellStart"/>
            <w:r>
              <w:rPr>
                <w:sz w:val="12"/>
                <w:szCs w:val="12"/>
              </w:rPr>
              <w:t>Operaz</w:t>
            </w:r>
            <w:proofErr w:type="spellEnd"/>
            <w:r>
              <w:rPr>
                <w:sz w:val="12"/>
                <w:szCs w:val="12"/>
              </w:rPr>
              <w:t>. illimitate</w:t>
            </w:r>
          </w:p>
        </w:tc>
        <w:tc>
          <w:tcPr>
            <w:tcW w:w="972"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b/>
                <w:bCs/>
              </w:rPr>
            </w:pPr>
            <w:r>
              <w:rPr>
                <w:rFonts w:ascii="Arial" w:hAnsi="Arial" w:cs="Arial"/>
                <w:b/>
                <w:bCs/>
                <w:sz w:val="18"/>
                <w:szCs w:val="18"/>
                <w:shd w:val="clear" w:color="auto" w:fill="FFFFFF"/>
              </w:rPr>
              <w:t>€ 48</w:t>
            </w:r>
            <w:r>
              <w:rPr>
                <w:b/>
                <w:bCs/>
              </w:rPr>
              <w:t xml:space="preserve"> </w:t>
            </w:r>
          </w:p>
          <w:p w:rsidR="00704164" w:rsidRDefault="00704164">
            <w:pPr>
              <w:rPr>
                <w:b/>
                <w:bCs/>
              </w:rPr>
            </w:pPr>
            <w:r>
              <w:rPr>
                <w:sz w:val="12"/>
                <w:szCs w:val="12"/>
              </w:rPr>
              <w:t>per operatività media con assistenza</w:t>
            </w:r>
          </w:p>
        </w:tc>
        <w:tc>
          <w:tcPr>
            <w:tcW w:w="104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0 €</w:t>
            </w:r>
          </w:p>
        </w:tc>
        <w:tc>
          <w:tcPr>
            <w:tcW w:w="1022"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0 €</w:t>
            </w:r>
          </w:p>
        </w:tc>
        <w:tc>
          <w:tcPr>
            <w:tcW w:w="119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0 €</w:t>
            </w:r>
          </w:p>
        </w:tc>
        <w:tc>
          <w:tcPr>
            <w:tcW w:w="1097"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xml:space="preserve">3,00 € </w:t>
            </w:r>
          </w:p>
        </w:tc>
        <w:tc>
          <w:tcPr>
            <w:tcW w:w="111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xml:space="preserve">3,00 € </w:t>
            </w:r>
          </w:p>
        </w:tc>
      </w:tr>
      <w:tr w:rsidR="00704164" w:rsidTr="00704164">
        <w:tc>
          <w:tcPr>
            <w:tcW w:w="1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04164" w:rsidRDefault="00704164">
            <w:r>
              <w:t xml:space="preserve">CARIPARMA </w:t>
            </w:r>
            <w:r>
              <w:rPr>
                <w:sz w:val="12"/>
                <w:szCs w:val="12"/>
              </w:rPr>
              <w:t>“Conto Famiglia”</w:t>
            </w:r>
          </w:p>
        </w:tc>
        <w:tc>
          <w:tcPr>
            <w:tcW w:w="1586" w:type="dxa"/>
            <w:tcBorders>
              <w:top w:val="nil"/>
              <w:left w:val="nil"/>
              <w:bottom w:val="single" w:sz="8" w:space="0" w:color="auto"/>
              <w:right w:val="single" w:sz="8" w:space="0" w:color="auto"/>
            </w:tcBorders>
            <w:tcMar>
              <w:top w:w="0" w:type="dxa"/>
              <w:left w:w="108" w:type="dxa"/>
              <w:bottom w:w="0" w:type="dxa"/>
              <w:right w:w="108" w:type="dxa"/>
            </w:tcMar>
          </w:tcPr>
          <w:p w:rsidR="00704164" w:rsidRDefault="00704164">
            <w:pPr>
              <w:rPr>
                <w:rFonts w:ascii="Arial" w:hAnsi="Arial" w:cs="Arial"/>
                <w:shd w:val="clear" w:color="auto" w:fill="FFFFFF"/>
              </w:rPr>
            </w:pPr>
            <w:r>
              <w:rPr>
                <w:rFonts w:ascii="Arial" w:hAnsi="Arial" w:cs="Arial"/>
                <w:b/>
                <w:bCs/>
                <w:sz w:val="18"/>
                <w:szCs w:val="18"/>
                <w:shd w:val="clear" w:color="auto" w:fill="FFFFFF"/>
              </w:rPr>
              <w:t>€ 0</w:t>
            </w:r>
          </w:p>
          <w:p w:rsidR="00704164" w:rsidRDefault="00704164">
            <w:pPr>
              <w:rPr>
                <w:rFonts w:ascii="Arial" w:hAnsi="Arial" w:cs="Arial"/>
                <w:shd w:val="clear" w:color="auto" w:fill="FFFFFF"/>
              </w:rPr>
            </w:pPr>
          </w:p>
        </w:tc>
        <w:tc>
          <w:tcPr>
            <w:tcW w:w="972" w:type="dxa"/>
            <w:tcBorders>
              <w:top w:val="nil"/>
              <w:left w:val="nil"/>
              <w:bottom w:val="single" w:sz="8" w:space="0" w:color="auto"/>
              <w:right w:val="single" w:sz="8" w:space="0" w:color="auto"/>
            </w:tcBorders>
            <w:tcMar>
              <w:top w:w="0" w:type="dxa"/>
              <w:left w:w="108" w:type="dxa"/>
              <w:bottom w:w="0" w:type="dxa"/>
              <w:right w:w="108" w:type="dxa"/>
            </w:tcMar>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xml:space="preserve">€ 48,99 </w:t>
            </w:r>
          </w:p>
          <w:p w:rsidR="00704164" w:rsidRDefault="00704164">
            <w:pPr>
              <w:rPr>
                <w:rFonts w:ascii="Arial" w:hAnsi="Arial" w:cs="Arial"/>
                <w:b/>
                <w:bCs/>
                <w:shd w:val="clear" w:color="auto" w:fill="FFFFFF"/>
              </w:rPr>
            </w:pPr>
          </w:p>
        </w:tc>
        <w:tc>
          <w:tcPr>
            <w:tcW w:w="104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2,60 €</w:t>
            </w:r>
          </w:p>
        </w:tc>
        <w:tc>
          <w:tcPr>
            <w:tcW w:w="1022"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3,60 €</w:t>
            </w:r>
          </w:p>
        </w:tc>
        <w:tc>
          <w:tcPr>
            <w:tcW w:w="119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0-2,10 €</w:t>
            </w:r>
          </w:p>
        </w:tc>
        <w:tc>
          <w:tcPr>
            <w:tcW w:w="1097"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xml:space="preserve">4,00 € </w:t>
            </w:r>
          </w:p>
        </w:tc>
        <w:tc>
          <w:tcPr>
            <w:tcW w:w="111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xml:space="preserve">5,00 € </w:t>
            </w:r>
          </w:p>
        </w:tc>
      </w:tr>
      <w:tr w:rsidR="00704164" w:rsidTr="00704164">
        <w:tc>
          <w:tcPr>
            <w:tcW w:w="181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04164" w:rsidRDefault="00704164">
            <w:r>
              <w:t>MONTE DEI PASCHI</w:t>
            </w:r>
          </w:p>
          <w:p w:rsidR="00704164" w:rsidRDefault="00704164">
            <w:pPr>
              <w:rPr>
                <w:sz w:val="12"/>
                <w:szCs w:val="12"/>
              </w:rPr>
            </w:pPr>
            <w:r>
              <w:rPr>
                <w:sz w:val="12"/>
                <w:szCs w:val="12"/>
              </w:rPr>
              <w:t xml:space="preserve">“Conto Italiano Famiglie con operatività media” </w:t>
            </w:r>
          </w:p>
          <w:p w:rsidR="00704164" w:rsidRDefault="00704164">
            <w:pPr>
              <w:rPr>
                <w:sz w:val="12"/>
                <w:szCs w:val="12"/>
              </w:rPr>
            </w:pPr>
          </w:p>
        </w:tc>
        <w:tc>
          <w:tcPr>
            <w:tcW w:w="1586"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€ 0</w:t>
            </w:r>
          </w:p>
        </w:tc>
        <w:tc>
          <w:tcPr>
            <w:tcW w:w="972" w:type="dxa"/>
            <w:tcBorders>
              <w:top w:val="nil"/>
              <w:left w:val="nil"/>
              <w:bottom w:val="single" w:sz="8" w:space="0" w:color="auto"/>
              <w:right w:val="single" w:sz="8" w:space="0" w:color="auto"/>
            </w:tcBorders>
            <w:tcMar>
              <w:top w:w="0" w:type="dxa"/>
              <w:left w:w="108" w:type="dxa"/>
              <w:bottom w:w="0" w:type="dxa"/>
              <w:right w:w="108" w:type="dxa"/>
            </w:tcMar>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€ 63,70</w:t>
            </w:r>
          </w:p>
          <w:p w:rsidR="00704164" w:rsidRDefault="00704164">
            <w:pPr>
              <w:rPr>
                <w:rFonts w:ascii="Arial" w:hAnsi="Arial" w:cs="Arial"/>
                <w:b/>
                <w:bCs/>
                <w:sz w:val="18"/>
                <w:szCs w:val="18"/>
                <w:shd w:val="clear" w:color="auto" w:fill="FFFFFF"/>
              </w:rPr>
            </w:pPr>
          </w:p>
        </w:tc>
        <w:tc>
          <w:tcPr>
            <w:tcW w:w="104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xml:space="preserve">€ 0,75 </w:t>
            </w:r>
          </w:p>
        </w:tc>
        <w:tc>
          <w:tcPr>
            <w:tcW w:w="1022"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€ 1,00</w:t>
            </w:r>
          </w:p>
        </w:tc>
        <w:tc>
          <w:tcPr>
            <w:tcW w:w="119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€ 2,10</w:t>
            </w:r>
          </w:p>
        </w:tc>
        <w:tc>
          <w:tcPr>
            <w:tcW w:w="1097"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xml:space="preserve">€ 5,50 </w:t>
            </w:r>
          </w:p>
        </w:tc>
        <w:tc>
          <w:tcPr>
            <w:tcW w:w="111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xml:space="preserve">€ 6,25 </w:t>
            </w:r>
          </w:p>
        </w:tc>
      </w:tr>
      <w:tr w:rsidR="00704164" w:rsidTr="00704164">
        <w:tc>
          <w:tcPr>
            <w:tcW w:w="1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04164" w:rsidRDefault="00704164">
            <w:r>
              <w:t xml:space="preserve">BANCO DI SARDEGNA </w:t>
            </w:r>
          </w:p>
          <w:p w:rsidR="00704164" w:rsidRDefault="00704164">
            <w:r>
              <w:rPr>
                <w:sz w:val="12"/>
                <w:szCs w:val="12"/>
              </w:rPr>
              <w:t>“conto “Zero Net” (op. media)</w:t>
            </w:r>
          </w:p>
        </w:tc>
        <w:tc>
          <w:tcPr>
            <w:tcW w:w="1586" w:type="dxa"/>
            <w:tcBorders>
              <w:top w:val="nil"/>
              <w:left w:val="nil"/>
              <w:bottom w:val="single" w:sz="8" w:space="0" w:color="auto"/>
              <w:right w:val="single" w:sz="8" w:space="0" w:color="auto"/>
            </w:tcBorders>
            <w:tcMar>
              <w:top w:w="0" w:type="dxa"/>
              <w:left w:w="108" w:type="dxa"/>
              <w:bottom w:w="0" w:type="dxa"/>
              <w:right w:w="108" w:type="dxa"/>
            </w:tcMar>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€ 0</w:t>
            </w:r>
          </w:p>
          <w:p w:rsidR="00704164" w:rsidRDefault="00704164">
            <w:pPr>
              <w:rPr>
                <w:rFonts w:ascii="Arial" w:hAnsi="Arial" w:cs="Arial"/>
                <w:b/>
                <w:bCs/>
                <w:sz w:val="18"/>
                <w:szCs w:val="18"/>
                <w:shd w:val="clear" w:color="auto" w:fill="FFFFFF"/>
              </w:rPr>
            </w:pPr>
          </w:p>
          <w:p w:rsidR="00704164" w:rsidRDefault="00704164">
            <w:pPr>
              <w:rPr>
                <w:rFonts w:ascii="Arial" w:hAnsi="Arial" w:cs="Arial"/>
                <w:shd w:val="clear" w:color="auto" w:fill="FFFFFF"/>
              </w:rPr>
            </w:pPr>
          </w:p>
        </w:tc>
        <w:tc>
          <w:tcPr>
            <w:tcW w:w="972" w:type="dxa"/>
            <w:tcBorders>
              <w:top w:val="nil"/>
              <w:left w:val="nil"/>
              <w:bottom w:val="single" w:sz="8" w:space="0" w:color="auto"/>
              <w:right w:val="single" w:sz="8" w:space="0" w:color="auto"/>
            </w:tcBorders>
            <w:tcMar>
              <w:top w:w="0" w:type="dxa"/>
              <w:left w:w="108" w:type="dxa"/>
              <w:bottom w:w="0" w:type="dxa"/>
              <w:right w:w="108" w:type="dxa"/>
            </w:tcMar>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xml:space="preserve">€ 76,68 </w:t>
            </w:r>
          </w:p>
          <w:p w:rsidR="00704164" w:rsidRDefault="00704164">
            <w:pPr>
              <w:rPr>
                <w:rFonts w:ascii="Arial" w:hAnsi="Arial" w:cs="Arial"/>
                <w:b/>
                <w:bCs/>
                <w:sz w:val="18"/>
                <w:szCs w:val="18"/>
                <w:shd w:val="clear" w:color="auto" w:fill="FFFFFF"/>
              </w:rPr>
            </w:pPr>
          </w:p>
        </w:tc>
        <w:tc>
          <w:tcPr>
            <w:tcW w:w="104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€ 0</w:t>
            </w:r>
          </w:p>
        </w:tc>
        <w:tc>
          <w:tcPr>
            <w:tcW w:w="1022"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0,0 €</w:t>
            </w:r>
          </w:p>
        </w:tc>
        <w:tc>
          <w:tcPr>
            <w:tcW w:w="119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€ 2,02</w:t>
            </w:r>
          </w:p>
        </w:tc>
        <w:tc>
          <w:tcPr>
            <w:tcW w:w="1097"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€ 2,49</w:t>
            </w:r>
          </w:p>
        </w:tc>
        <w:tc>
          <w:tcPr>
            <w:tcW w:w="111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€ 3,78</w:t>
            </w:r>
          </w:p>
        </w:tc>
      </w:tr>
      <w:tr w:rsidR="00704164" w:rsidTr="00704164">
        <w:tc>
          <w:tcPr>
            <w:tcW w:w="1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04164" w:rsidRDefault="00704164">
            <w:pPr>
              <w:rPr>
                <w:lang w:eastAsia="it-IT"/>
              </w:rPr>
            </w:pPr>
            <w:r>
              <w:t xml:space="preserve">BANCA POPOLARE DI MILANO </w:t>
            </w:r>
            <w:r>
              <w:rPr>
                <w:sz w:val="12"/>
                <w:szCs w:val="12"/>
              </w:rPr>
              <w:t xml:space="preserve">Conto </w:t>
            </w:r>
            <w:proofErr w:type="spellStart"/>
            <w:r>
              <w:rPr>
                <w:sz w:val="12"/>
                <w:szCs w:val="12"/>
              </w:rPr>
              <w:t>You</w:t>
            </w:r>
            <w:proofErr w:type="spellEnd"/>
            <w:r>
              <w:rPr>
                <w:sz w:val="12"/>
                <w:szCs w:val="12"/>
              </w:rPr>
              <w:t xml:space="preserve"> Do</w:t>
            </w:r>
          </w:p>
        </w:tc>
        <w:tc>
          <w:tcPr>
            <w:tcW w:w="1586"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 xml:space="preserve">Mensile € 3 </w:t>
            </w:r>
          </w:p>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Annuale 36</w:t>
            </w:r>
          </w:p>
          <w:p w:rsidR="00704164" w:rsidRDefault="00704164">
            <w:pPr>
              <w:rPr>
                <w:rFonts w:ascii="Arial" w:hAnsi="Arial" w:cs="Arial"/>
                <w:shd w:val="clear" w:color="auto" w:fill="FFFFFF"/>
              </w:rPr>
            </w:pPr>
            <w:r>
              <w:rPr>
                <w:rFonts w:ascii="Arial" w:hAnsi="Arial" w:cs="Arial"/>
                <w:b/>
                <w:bCs/>
                <w:sz w:val="18"/>
                <w:szCs w:val="18"/>
                <w:shd w:val="clear" w:color="auto" w:fill="FFFFFF"/>
              </w:rPr>
              <w:t>Movimenti illimitati</w:t>
            </w:r>
          </w:p>
        </w:tc>
        <w:tc>
          <w:tcPr>
            <w:tcW w:w="972"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proofErr w:type="spellStart"/>
            <w:r>
              <w:rPr>
                <w:rFonts w:ascii="Arial" w:hAnsi="Arial" w:cs="Arial"/>
                <w:b/>
                <w:bCs/>
                <w:sz w:val="18"/>
                <w:szCs w:val="18"/>
                <w:shd w:val="clear" w:color="auto" w:fill="FFFFFF"/>
              </w:rPr>
              <w:t>Min</w:t>
            </w:r>
            <w:proofErr w:type="spellEnd"/>
            <w:r>
              <w:rPr>
                <w:rFonts w:ascii="Arial" w:hAnsi="Arial" w:cs="Arial"/>
                <w:b/>
                <w:bCs/>
                <w:sz w:val="18"/>
                <w:szCs w:val="18"/>
                <w:shd w:val="clear" w:color="auto" w:fill="FFFFFF"/>
              </w:rPr>
              <w:t xml:space="preserve"> 74,02 Max 110,02 </w:t>
            </w:r>
          </w:p>
        </w:tc>
        <w:tc>
          <w:tcPr>
            <w:tcW w:w="104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0,75 €</w:t>
            </w:r>
          </w:p>
        </w:tc>
        <w:tc>
          <w:tcPr>
            <w:tcW w:w="1022"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0,75 €</w:t>
            </w:r>
          </w:p>
        </w:tc>
        <w:tc>
          <w:tcPr>
            <w:tcW w:w="119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1,95 €</w:t>
            </w:r>
          </w:p>
        </w:tc>
        <w:tc>
          <w:tcPr>
            <w:tcW w:w="1097"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5,00 €</w:t>
            </w:r>
          </w:p>
        </w:tc>
        <w:tc>
          <w:tcPr>
            <w:tcW w:w="111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5,00 €</w:t>
            </w:r>
          </w:p>
        </w:tc>
      </w:tr>
      <w:tr w:rsidR="00704164" w:rsidTr="00704164">
        <w:tc>
          <w:tcPr>
            <w:tcW w:w="1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04164" w:rsidRDefault="00704164">
            <w:r>
              <w:t>UNICREDIT</w:t>
            </w:r>
          </w:p>
          <w:p w:rsidR="00704164" w:rsidRDefault="00704164">
            <w:pPr>
              <w:rPr>
                <w:sz w:val="12"/>
                <w:szCs w:val="12"/>
              </w:rPr>
            </w:pPr>
            <w:r>
              <w:rPr>
                <w:sz w:val="12"/>
                <w:szCs w:val="12"/>
              </w:rPr>
              <w:t xml:space="preserve">“Conto Super Genius” </w:t>
            </w:r>
          </w:p>
          <w:p w:rsidR="00704164" w:rsidRDefault="00704164">
            <w:pPr>
              <w:rPr>
                <w:sz w:val="12"/>
                <w:szCs w:val="12"/>
              </w:rPr>
            </w:pPr>
            <w:r>
              <w:rPr>
                <w:sz w:val="12"/>
                <w:szCs w:val="12"/>
              </w:rPr>
              <w:t>L'offerta è riservata ai correntisti UniCredit ed è valida dal 24 marzo al 31 maggio 2014.</w:t>
            </w:r>
          </w:p>
        </w:tc>
        <w:tc>
          <w:tcPr>
            <w:tcW w:w="1586"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sz w:val="12"/>
                <w:szCs w:val="12"/>
              </w:rPr>
            </w:pPr>
            <w:r>
              <w:rPr>
                <w:rFonts w:ascii="Arial" w:hAnsi="Arial" w:cs="Arial"/>
                <w:b/>
                <w:bCs/>
                <w:sz w:val="18"/>
                <w:szCs w:val="18"/>
                <w:shd w:val="clear" w:color="auto" w:fill="FFFFFF"/>
              </w:rPr>
              <w:t xml:space="preserve">6 euro mensili 72,00 euro annui </w:t>
            </w:r>
            <w:r>
              <w:rPr>
                <w:sz w:val="12"/>
                <w:szCs w:val="12"/>
              </w:rPr>
              <w:t>con possibilità di rivedere il canone fino ad azzerarlo.</w:t>
            </w:r>
          </w:p>
          <w:p w:rsidR="00704164" w:rsidRDefault="00704164">
            <w:pPr>
              <w:rPr>
                <w:b/>
                <w:bCs/>
              </w:rPr>
            </w:pPr>
            <w:r>
              <w:rPr>
                <w:sz w:val="12"/>
                <w:szCs w:val="12"/>
              </w:rPr>
              <w:t>Nuovi conti: Canone azzerato per i primi due anni</w:t>
            </w:r>
            <w:r>
              <w:rPr>
                <w:b/>
                <w:bCs/>
                <w:sz w:val="18"/>
                <w:szCs w:val="18"/>
              </w:rPr>
              <w:t xml:space="preserve"> </w:t>
            </w:r>
          </w:p>
        </w:tc>
        <w:tc>
          <w:tcPr>
            <w:tcW w:w="972"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hd w:val="clear" w:color="auto" w:fill="FFFFFF"/>
              </w:rPr>
            </w:pPr>
            <w:r>
              <w:rPr>
                <w:rFonts w:ascii="Arial" w:hAnsi="Arial" w:cs="Arial"/>
                <w:b/>
                <w:bCs/>
                <w:sz w:val="18"/>
                <w:szCs w:val="18"/>
                <w:shd w:val="clear" w:color="auto" w:fill="FFFFFF"/>
              </w:rPr>
              <w:t xml:space="preserve">€ 110,70 </w:t>
            </w:r>
          </w:p>
        </w:tc>
        <w:tc>
          <w:tcPr>
            <w:tcW w:w="104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1,10 €</w:t>
            </w:r>
          </w:p>
        </w:tc>
        <w:tc>
          <w:tcPr>
            <w:tcW w:w="1022"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1,50 €</w:t>
            </w:r>
          </w:p>
        </w:tc>
        <w:tc>
          <w:tcPr>
            <w:tcW w:w="119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Prelevi senza commissioni:</w:t>
            </w:r>
          </w:p>
          <w:p w:rsidR="00704164" w:rsidRDefault="00704164">
            <w:pPr>
              <w:rPr>
                <w:sz w:val="12"/>
                <w:szCs w:val="12"/>
              </w:rPr>
            </w:pPr>
            <w:r>
              <w:rPr>
                <w:sz w:val="12"/>
                <w:szCs w:val="12"/>
              </w:rPr>
              <w:t>da ATM  </w:t>
            </w:r>
          </w:p>
          <w:p w:rsidR="00704164" w:rsidRDefault="00704164">
            <w:pPr>
              <w:rPr>
                <w:rFonts w:ascii="Arial" w:hAnsi="Arial" w:cs="Arial"/>
                <w:b/>
                <w:bCs/>
                <w:sz w:val="18"/>
                <w:szCs w:val="18"/>
                <w:shd w:val="clear" w:color="auto" w:fill="FFFFFF"/>
              </w:rPr>
            </w:pPr>
            <w:r>
              <w:rPr>
                <w:sz w:val="12"/>
                <w:szCs w:val="12"/>
              </w:rPr>
              <w:t>UniCredit e presso gli sportelli Bancomat di altre banche nei Comuni Italiani dove non sono presenti</w:t>
            </w:r>
            <w:r>
              <w:rPr>
                <w:sz w:val="12"/>
                <w:szCs w:val="12"/>
              </w:rPr>
              <w:br/>
              <w:t>sportelli UniCredit</w:t>
            </w:r>
          </w:p>
        </w:tc>
        <w:tc>
          <w:tcPr>
            <w:tcW w:w="1097"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Non ricavato</w:t>
            </w:r>
          </w:p>
        </w:tc>
        <w:tc>
          <w:tcPr>
            <w:tcW w:w="1119" w:type="dxa"/>
            <w:tcBorders>
              <w:top w:val="nil"/>
              <w:left w:val="nil"/>
              <w:bottom w:val="single" w:sz="8" w:space="0" w:color="auto"/>
              <w:right w:val="single" w:sz="8" w:space="0" w:color="auto"/>
            </w:tcBorders>
            <w:tcMar>
              <w:top w:w="0" w:type="dxa"/>
              <w:left w:w="108" w:type="dxa"/>
              <w:bottom w:w="0" w:type="dxa"/>
              <w:right w:w="108" w:type="dxa"/>
            </w:tcMar>
            <w:hideMark/>
          </w:tcPr>
          <w:p w:rsidR="00704164" w:rsidRDefault="00704164">
            <w:pPr>
              <w:rPr>
                <w:rFonts w:ascii="Arial" w:hAnsi="Arial" w:cs="Arial"/>
                <w:b/>
                <w:bCs/>
                <w:sz w:val="18"/>
                <w:szCs w:val="18"/>
                <w:shd w:val="clear" w:color="auto" w:fill="FFFFFF"/>
              </w:rPr>
            </w:pPr>
            <w:r>
              <w:rPr>
                <w:rFonts w:ascii="Arial" w:hAnsi="Arial" w:cs="Arial"/>
                <w:b/>
                <w:bCs/>
                <w:sz w:val="18"/>
                <w:szCs w:val="18"/>
                <w:shd w:val="clear" w:color="auto" w:fill="FFFFFF"/>
              </w:rPr>
              <w:t>Non ricavato</w:t>
            </w:r>
          </w:p>
        </w:tc>
      </w:tr>
    </w:tbl>
    <w:p w:rsidR="00704164" w:rsidRDefault="00704164" w:rsidP="00704164"/>
    <w:p w:rsidR="00C200C3" w:rsidRDefault="00C200C3"/>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78"/>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164"/>
    <w:rsid w:val="00073741"/>
    <w:rsid w:val="00130235"/>
    <w:rsid w:val="001A3C40"/>
    <w:rsid w:val="001D07B7"/>
    <w:rsid w:val="001D0D71"/>
    <w:rsid w:val="002E4C34"/>
    <w:rsid w:val="00370059"/>
    <w:rsid w:val="00424BEE"/>
    <w:rsid w:val="004B0A7D"/>
    <w:rsid w:val="004B75D8"/>
    <w:rsid w:val="004F322C"/>
    <w:rsid w:val="005057D6"/>
    <w:rsid w:val="00535F48"/>
    <w:rsid w:val="005F3BF0"/>
    <w:rsid w:val="00632BCB"/>
    <w:rsid w:val="00704164"/>
    <w:rsid w:val="007339EC"/>
    <w:rsid w:val="00754201"/>
    <w:rsid w:val="00873879"/>
    <w:rsid w:val="0094402A"/>
    <w:rsid w:val="0098615F"/>
    <w:rsid w:val="009B4EA1"/>
    <w:rsid w:val="00A42182"/>
    <w:rsid w:val="00B03057"/>
    <w:rsid w:val="00B35AE5"/>
    <w:rsid w:val="00B90F78"/>
    <w:rsid w:val="00C200C3"/>
    <w:rsid w:val="00C55771"/>
    <w:rsid w:val="00C76E16"/>
    <w:rsid w:val="00C848D3"/>
    <w:rsid w:val="00D05D56"/>
    <w:rsid w:val="00D07FAE"/>
    <w:rsid w:val="00D136AC"/>
    <w:rsid w:val="00D709E1"/>
    <w:rsid w:val="00DB5BBF"/>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04164"/>
    <w:pPr>
      <w:spacing w:before="0" w:after="0"/>
      <w:jc w:val="left"/>
    </w:pPr>
    <w:rPr>
      <w:rFonts w:ascii="Calibri" w:hAnsi="Calibri"/>
      <w:bCs w:val="0"/>
      <w:iCs w:val="0"/>
      <w:kern w:val="0"/>
    </w:rPr>
  </w:style>
  <w:style w:type="paragraph" w:styleId="Titolo1">
    <w:name w:val="heading 1"/>
    <w:basedOn w:val="Normale"/>
    <w:link w:val="Titolo1Carattere"/>
    <w:uiPriority w:val="9"/>
    <w:qFormat/>
    <w:rsid w:val="00535F48"/>
    <w:pPr>
      <w:keepNext/>
      <w:spacing w:before="240" w:after="60"/>
      <w:ind w:left="480" w:right="34"/>
      <w:jc w:val="center"/>
      <w:outlineLvl w:val="0"/>
    </w:pPr>
    <w:rPr>
      <w:rFonts w:ascii="Century Gothic" w:hAnsi="Century Gothic" w:cs="Century Gothic"/>
      <w:b/>
      <w:bCs/>
      <w:color w:val="17365D" w:themeColor="text2" w:themeShade="BF"/>
      <w:sz w:val="32"/>
      <w:szCs w:val="32"/>
      <w:lang w:eastAsia="it-IT"/>
    </w:rPr>
  </w:style>
  <w:style w:type="paragraph" w:styleId="Titolo2">
    <w:name w:val="heading 2"/>
    <w:basedOn w:val="Normale"/>
    <w:link w:val="Titolo2Carattere"/>
    <w:qFormat/>
    <w:rsid w:val="00535F48"/>
    <w:pPr>
      <w:keepNext/>
      <w:spacing w:before="240" w:after="60"/>
      <w:jc w:val="center"/>
      <w:outlineLvl w:val="1"/>
    </w:pPr>
    <w:rPr>
      <w:rFonts w:ascii="Century Gothic" w:eastAsiaTheme="minorEastAsia" w:hAnsi="Century Gothic" w:cs="Century Gothic"/>
      <w:b/>
      <w:bCs/>
      <w:iCs/>
      <w:color w:val="17365D" w:themeColor="text2" w:themeShade="BF"/>
      <w:kern w:val="36"/>
      <w:sz w:val="28"/>
      <w:szCs w:val="16"/>
      <w:lang w:eastAsia="it-IT"/>
    </w:rPr>
  </w:style>
  <w:style w:type="paragraph" w:styleId="Titolo3">
    <w:name w:val="heading 3"/>
    <w:basedOn w:val="Normale"/>
    <w:link w:val="Titolo3Carattere"/>
    <w:uiPriority w:val="9"/>
    <w:qFormat/>
    <w:rsid w:val="00535F48"/>
    <w:pPr>
      <w:keepNext/>
      <w:spacing w:before="240" w:after="60"/>
      <w:jc w:val="center"/>
      <w:outlineLvl w:val="2"/>
    </w:pPr>
    <w:rPr>
      <w:rFonts w:ascii="Century Gothic" w:hAnsi="Century Gothic" w:cs="Century Gothic"/>
      <w:b/>
      <w:bCs/>
      <w:color w:val="17365D" w:themeColor="text2" w:themeShade="BF"/>
      <w:sz w:val="24"/>
      <w:szCs w:val="24"/>
      <w:lang w:eastAsia="it-IT"/>
    </w:rPr>
  </w:style>
  <w:style w:type="paragraph" w:styleId="Titolo4">
    <w:name w:val="heading 4"/>
    <w:basedOn w:val="Normale"/>
    <w:link w:val="Titolo4Carattere"/>
    <w:uiPriority w:val="9"/>
    <w:qFormat/>
    <w:rsid w:val="00535F48"/>
    <w:pPr>
      <w:keepNext/>
      <w:spacing w:before="240" w:after="60"/>
      <w:outlineLvl w:val="3"/>
    </w:pPr>
    <w:rPr>
      <w:rFonts w:ascii="Century Gothic" w:hAnsi="Century Gothic"/>
      <w:b/>
      <w:bCs/>
      <w:color w:val="17365D" w:themeColor="text2" w:themeShade="BF"/>
      <w:sz w:val="24"/>
      <w:szCs w:val="28"/>
      <w:lang w:eastAsia="it-IT"/>
    </w:rPr>
  </w:style>
  <w:style w:type="paragraph" w:styleId="Titolo6">
    <w:name w:val="heading 6"/>
    <w:basedOn w:val="Normale"/>
    <w:link w:val="Titolo6Carattere"/>
    <w:uiPriority w:val="9"/>
    <w:qFormat/>
    <w:rsid w:val="00130235"/>
    <w:pPr>
      <w:spacing w:before="240" w:after="60"/>
      <w:jc w:val="both"/>
      <w:outlineLvl w:val="5"/>
    </w:pPr>
    <w:rPr>
      <w:rFonts w:ascii="Times New Roman" w:hAnsi="Times New Roman"/>
      <w:b/>
      <w:bCs/>
      <w:color w:val="17365D" w:themeColor="text2" w:themeShade="BF"/>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jc w:val="both"/>
    </w:pPr>
    <w:rPr>
      <w:rFonts w:ascii="Century Gothic" w:eastAsia="Times New Roman" w:hAnsi="Century Gothic" w:cs="Century Gothic"/>
      <w:bCs/>
      <w:iCs/>
      <w:color w:val="17365D" w:themeColor="text2" w:themeShade="BF"/>
      <w:kern w:val="36"/>
      <w:sz w:val="24"/>
      <w:szCs w:val="24"/>
      <w:lang w:eastAsia="it-IT"/>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jc w:val="center"/>
    </w:pPr>
    <w:rPr>
      <w:rFonts w:ascii="Century Gothic" w:hAnsi="Century Gothic" w:cs="Arial"/>
      <w:b/>
      <w:bCs/>
      <w:color w:val="17365D" w:themeColor="text2" w:themeShade="BF"/>
      <w:sz w:val="34"/>
      <w:szCs w:val="32"/>
      <w:lang w:eastAsia="it-IT"/>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ind w:left="600" w:firstLine="567"/>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jc w:val="both"/>
    </w:pPr>
    <w:rPr>
      <w:rFonts w:ascii="Century Gothic" w:hAnsi="Century Gothic" w:cs="Century Gothic"/>
      <w:color w:val="17365D" w:themeColor="text2" w:themeShade="BF"/>
      <w:sz w:val="24"/>
      <w:szCs w:val="24"/>
      <w:lang w:eastAsia="it-IT"/>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ind w:right="-2"/>
      <w:jc w:val="both"/>
    </w:pPr>
    <w:rPr>
      <w:rFonts w:ascii="Century Gothic" w:hAnsi="Century Gothic"/>
      <w:color w:val="17365D" w:themeColor="text2" w:themeShade="BF"/>
      <w:sz w:val="24"/>
      <w:szCs w:val="24"/>
      <w:lang w:eastAsia="it-IT"/>
    </w:rPr>
  </w:style>
  <w:style w:type="paragraph" w:styleId="Sommario3">
    <w:name w:val="toc 3"/>
    <w:basedOn w:val="Normale"/>
    <w:autoRedefine/>
    <w:uiPriority w:val="39"/>
    <w:semiHidden/>
    <w:unhideWhenUsed/>
    <w:rsid w:val="00130235"/>
    <w:pPr>
      <w:spacing w:before="120" w:after="120"/>
      <w:ind w:left="440"/>
      <w:jc w:val="both"/>
    </w:pPr>
    <w:rPr>
      <w:rFonts w:ascii="Times New Roman" w:hAnsi="Times New Roman"/>
      <w:color w:val="17365D" w:themeColor="text2" w:themeShade="BF"/>
      <w:sz w:val="24"/>
      <w:szCs w:val="24"/>
      <w:lang w:eastAsia="it-IT"/>
    </w:rPr>
  </w:style>
  <w:style w:type="paragraph" w:styleId="Testonotaapidipagina">
    <w:name w:val="footnote text"/>
    <w:basedOn w:val="Normale"/>
    <w:link w:val="TestonotaapidipaginaCarattere"/>
    <w:uiPriority w:val="99"/>
    <w:semiHidden/>
    <w:unhideWhenUsed/>
    <w:rsid w:val="00130235"/>
    <w:pPr>
      <w:spacing w:before="120" w:after="120"/>
      <w:jc w:val="both"/>
    </w:pPr>
    <w:rPr>
      <w:rFonts w:ascii="Times New Roman" w:hAnsi="Times New Roman"/>
      <w:color w:val="17365D" w:themeColor="text2" w:themeShade="BF"/>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jc w:val="both"/>
    </w:pPr>
    <w:rPr>
      <w:rFonts w:ascii="Times New Roman" w:hAnsi="Times New Roman"/>
      <w:color w:val="17365D" w:themeColor="text2" w:themeShade="BF"/>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jc w:val="both"/>
    </w:pPr>
    <w:rPr>
      <w:rFonts w:ascii="Times New Roman" w:hAnsi="Times New Roman"/>
      <w:color w:val="17365D" w:themeColor="text2" w:themeShade="BF"/>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jc w:val="both"/>
    </w:pPr>
    <w:rPr>
      <w:rFonts w:ascii="Century Gothic" w:hAnsi="Century Gothic"/>
      <w:color w:val="17365D" w:themeColor="text2" w:themeShade="BF"/>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spacing w:before="120" w:after="120"/>
      <w:jc w:val="both"/>
    </w:pPr>
    <w:rPr>
      <w:color w:val="17365D" w:themeColor="text2" w:themeShade="BF"/>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jc w:val="both"/>
    </w:pPr>
    <w:rPr>
      <w:rFonts w:ascii="Tahoma" w:hAnsi="Tahoma" w:cs="Tahoma"/>
      <w:color w:val="17365D" w:themeColor="text2" w:themeShade="BF"/>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before="120" w:after="120"/>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spacing w:before="120" w:after="120"/>
      <w:ind w:left="720"/>
      <w:jc w:val="both"/>
    </w:pPr>
    <w:rPr>
      <w:rFonts w:ascii="Century Gothic" w:hAnsi="Century Gothic"/>
      <w:color w:val="17365D" w:themeColor="text2" w:themeShade="BF"/>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04164"/>
    <w:pPr>
      <w:spacing w:before="0" w:after="0"/>
      <w:jc w:val="left"/>
    </w:pPr>
    <w:rPr>
      <w:rFonts w:ascii="Calibri" w:hAnsi="Calibri"/>
      <w:bCs w:val="0"/>
      <w:iCs w:val="0"/>
      <w:kern w:val="0"/>
    </w:rPr>
  </w:style>
  <w:style w:type="paragraph" w:styleId="Titolo1">
    <w:name w:val="heading 1"/>
    <w:basedOn w:val="Normale"/>
    <w:link w:val="Titolo1Carattere"/>
    <w:uiPriority w:val="9"/>
    <w:qFormat/>
    <w:rsid w:val="00535F48"/>
    <w:pPr>
      <w:keepNext/>
      <w:spacing w:before="240" w:after="60"/>
      <w:ind w:left="480" w:right="34"/>
      <w:jc w:val="center"/>
      <w:outlineLvl w:val="0"/>
    </w:pPr>
    <w:rPr>
      <w:rFonts w:ascii="Century Gothic" w:hAnsi="Century Gothic" w:cs="Century Gothic"/>
      <w:b/>
      <w:bCs/>
      <w:color w:val="17365D" w:themeColor="text2" w:themeShade="BF"/>
      <w:sz w:val="32"/>
      <w:szCs w:val="32"/>
      <w:lang w:eastAsia="it-IT"/>
    </w:rPr>
  </w:style>
  <w:style w:type="paragraph" w:styleId="Titolo2">
    <w:name w:val="heading 2"/>
    <w:basedOn w:val="Normale"/>
    <w:link w:val="Titolo2Carattere"/>
    <w:qFormat/>
    <w:rsid w:val="00535F48"/>
    <w:pPr>
      <w:keepNext/>
      <w:spacing w:before="240" w:after="60"/>
      <w:jc w:val="center"/>
      <w:outlineLvl w:val="1"/>
    </w:pPr>
    <w:rPr>
      <w:rFonts w:ascii="Century Gothic" w:eastAsiaTheme="minorEastAsia" w:hAnsi="Century Gothic" w:cs="Century Gothic"/>
      <w:b/>
      <w:bCs/>
      <w:iCs/>
      <w:color w:val="17365D" w:themeColor="text2" w:themeShade="BF"/>
      <w:kern w:val="36"/>
      <w:sz w:val="28"/>
      <w:szCs w:val="16"/>
      <w:lang w:eastAsia="it-IT"/>
    </w:rPr>
  </w:style>
  <w:style w:type="paragraph" w:styleId="Titolo3">
    <w:name w:val="heading 3"/>
    <w:basedOn w:val="Normale"/>
    <w:link w:val="Titolo3Carattere"/>
    <w:uiPriority w:val="9"/>
    <w:qFormat/>
    <w:rsid w:val="00535F48"/>
    <w:pPr>
      <w:keepNext/>
      <w:spacing w:before="240" w:after="60"/>
      <w:jc w:val="center"/>
      <w:outlineLvl w:val="2"/>
    </w:pPr>
    <w:rPr>
      <w:rFonts w:ascii="Century Gothic" w:hAnsi="Century Gothic" w:cs="Century Gothic"/>
      <w:b/>
      <w:bCs/>
      <w:color w:val="17365D" w:themeColor="text2" w:themeShade="BF"/>
      <w:sz w:val="24"/>
      <w:szCs w:val="24"/>
      <w:lang w:eastAsia="it-IT"/>
    </w:rPr>
  </w:style>
  <w:style w:type="paragraph" w:styleId="Titolo4">
    <w:name w:val="heading 4"/>
    <w:basedOn w:val="Normale"/>
    <w:link w:val="Titolo4Carattere"/>
    <w:uiPriority w:val="9"/>
    <w:qFormat/>
    <w:rsid w:val="00535F48"/>
    <w:pPr>
      <w:keepNext/>
      <w:spacing w:before="240" w:after="60"/>
      <w:outlineLvl w:val="3"/>
    </w:pPr>
    <w:rPr>
      <w:rFonts w:ascii="Century Gothic" w:hAnsi="Century Gothic"/>
      <w:b/>
      <w:bCs/>
      <w:color w:val="17365D" w:themeColor="text2" w:themeShade="BF"/>
      <w:sz w:val="24"/>
      <w:szCs w:val="28"/>
      <w:lang w:eastAsia="it-IT"/>
    </w:rPr>
  </w:style>
  <w:style w:type="paragraph" w:styleId="Titolo6">
    <w:name w:val="heading 6"/>
    <w:basedOn w:val="Normale"/>
    <w:link w:val="Titolo6Carattere"/>
    <w:uiPriority w:val="9"/>
    <w:qFormat/>
    <w:rsid w:val="00130235"/>
    <w:pPr>
      <w:spacing w:before="240" w:after="60"/>
      <w:jc w:val="both"/>
      <w:outlineLvl w:val="5"/>
    </w:pPr>
    <w:rPr>
      <w:rFonts w:ascii="Times New Roman" w:hAnsi="Times New Roman"/>
      <w:b/>
      <w:bCs/>
      <w:color w:val="17365D" w:themeColor="text2" w:themeShade="BF"/>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jc w:val="both"/>
    </w:pPr>
    <w:rPr>
      <w:rFonts w:ascii="Century Gothic" w:eastAsia="Times New Roman" w:hAnsi="Century Gothic" w:cs="Century Gothic"/>
      <w:bCs/>
      <w:iCs/>
      <w:color w:val="17365D" w:themeColor="text2" w:themeShade="BF"/>
      <w:kern w:val="36"/>
      <w:sz w:val="24"/>
      <w:szCs w:val="24"/>
      <w:lang w:eastAsia="it-IT"/>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jc w:val="center"/>
    </w:pPr>
    <w:rPr>
      <w:rFonts w:ascii="Century Gothic" w:hAnsi="Century Gothic" w:cs="Arial"/>
      <w:b/>
      <w:bCs/>
      <w:color w:val="17365D" w:themeColor="text2" w:themeShade="BF"/>
      <w:sz w:val="34"/>
      <w:szCs w:val="32"/>
      <w:lang w:eastAsia="it-IT"/>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ind w:left="600" w:firstLine="567"/>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jc w:val="both"/>
    </w:pPr>
    <w:rPr>
      <w:rFonts w:ascii="Century Gothic" w:hAnsi="Century Gothic" w:cs="Century Gothic"/>
      <w:color w:val="17365D" w:themeColor="text2" w:themeShade="BF"/>
      <w:sz w:val="24"/>
      <w:szCs w:val="24"/>
      <w:lang w:eastAsia="it-IT"/>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ind w:right="-2"/>
      <w:jc w:val="both"/>
    </w:pPr>
    <w:rPr>
      <w:rFonts w:ascii="Century Gothic" w:hAnsi="Century Gothic"/>
      <w:color w:val="17365D" w:themeColor="text2" w:themeShade="BF"/>
      <w:sz w:val="24"/>
      <w:szCs w:val="24"/>
      <w:lang w:eastAsia="it-IT"/>
    </w:rPr>
  </w:style>
  <w:style w:type="paragraph" w:styleId="Sommario3">
    <w:name w:val="toc 3"/>
    <w:basedOn w:val="Normale"/>
    <w:autoRedefine/>
    <w:uiPriority w:val="39"/>
    <w:semiHidden/>
    <w:unhideWhenUsed/>
    <w:rsid w:val="00130235"/>
    <w:pPr>
      <w:spacing w:before="120" w:after="120"/>
      <w:ind w:left="440"/>
      <w:jc w:val="both"/>
    </w:pPr>
    <w:rPr>
      <w:rFonts w:ascii="Times New Roman" w:hAnsi="Times New Roman"/>
      <w:color w:val="17365D" w:themeColor="text2" w:themeShade="BF"/>
      <w:sz w:val="24"/>
      <w:szCs w:val="24"/>
      <w:lang w:eastAsia="it-IT"/>
    </w:rPr>
  </w:style>
  <w:style w:type="paragraph" w:styleId="Testonotaapidipagina">
    <w:name w:val="footnote text"/>
    <w:basedOn w:val="Normale"/>
    <w:link w:val="TestonotaapidipaginaCarattere"/>
    <w:uiPriority w:val="99"/>
    <w:semiHidden/>
    <w:unhideWhenUsed/>
    <w:rsid w:val="00130235"/>
    <w:pPr>
      <w:spacing w:before="120" w:after="120"/>
      <w:jc w:val="both"/>
    </w:pPr>
    <w:rPr>
      <w:rFonts w:ascii="Times New Roman" w:hAnsi="Times New Roman"/>
      <w:color w:val="17365D" w:themeColor="text2" w:themeShade="BF"/>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jc w:val="both"/>
    </w:pPr>
    <w:rPr>
      <w:rFonts w:ascii="Times New Roman" w:hAnsi="Times New Roman"/>
      <w:color w:val="17365D" w:themeColor="text2" w:themeShade="BF"/>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jc w:val="both"/>
    </w:pPr>
    <w:rPr>
      <w:rFonts w:ascii="Times New Roman" w:hAnsi="Times New Roman"/>
      <w:color w:val="17365D" w:themeColor="text2" w:themeShade="BF"/>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jc w:val="both"/>
    </w:pPr>
    <w:rPr>
      <w:rFonts w:ascii="Century Gothic" w:hAnsi="Century Gothic"/>
      <w:color w:val="17365D" w:themeColor="text2" w:themeShade="BF"/>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spacing w:before="120" w:after="120"/>
      <w:jc w:val="both"/>
    </w:pPr>
    <w:rPr>
      <w:color w:val="17365D" w:themeColor="text2" w:themeShade="BF"/>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jc w:val="both"/>
    </w:pPr>
    <w:rPr>
      <w:rFonts w:ascii="Tahoma" w:hAnsi="Tahoma" w:cs="Tahoma"/>
      <w:color w:val="17365D" w:themeColor="text2" w:themeShade="BF"/>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before="120" w:after="120"/>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spacing w:before="120" w:after="120"/>
      <w:ind w:left="720"/>
      <w:jc w:val="both"/>
    </w:pPr>
    <w:rPr>
      <w:rFonts w:ascii="Century Gothic" w:hAnsi="Century Gothic"/>
      <w:color w:val="17365D" w:themeColor="text2" w:themeShade="BF"/>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33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oste.it/bancoposta/contobancopost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1163</Words>
  <Characters>6633</Characters>
  <Application>Microsoft Office Word</Application>
  <DocSecurity>0</DocSecurity>
  <Lines>55</Lines>
  <Paragraphs>15</Paragraphs>
  <ScaleCrop>false</ScaleCrop>
  <Company/>
  <LinksUpToDate>false</LinksUpToDate>
  <CharactersWithSpaces>7781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Mauro Novelli</cp:lastModifiedBy>
  <cp:revision>1</cp:revision>
  <dcterms:created xsi:type="dcterms:W3CDTF">2014-05-03T10:32:00Z</dcterms:created>
  <dcterms:modified xsi:type="dcterms:W3CDTF">2014-05-03T10:34:00Z</dcterms:modified>
</cp:coreProperties>
</file>