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2AF" w:rsidRDefault="000132AF" w:rsidP="000132AF">
      <w:pPr>
        <w:spacing w:line="360" w:lineRule="auto"/>
        <w:ind w:left="600" w:right="742"/>
        <w:jc w:val="center"/>
        <w:rPr>
          <w:rFonts w:eastAsia="SimSun" w:cs="Century Gothic"/>
          <w:color w:val="002060"/>
          <w:sz w:val="32"/>
          <w:szCs w:val="32"/>
          <w:lang w:eastAsia="zh-CN"/>
        </w:rPr>
      </w:pPr>
      <w:r>
        <w:rPr>
          <w:rFonts w:eastAsia="SimSun" w:cs="Century Gothic"/>
          <w:color w:val="002060"/>
          <w:sz w:val="32"/>
          <w:szCs w:val="32"/>
          <w:lang w:eastAsia="zh-CN"/>
        </w:rPr>
        <w:t>Il ConsigliO n° 87</w:t>
      </w:r>
    </w:p>
    <w:p w:rsidR="000132AF" w:rsidRDefault="000132AF" w:rsidP="000132AF">
      <w:pPr>
        <w:spacing w:line="360" w:lineRule="auto"/>
        <w:ind w:left="600" w:right="742"/>
        <w:jc w:val="center"/>
        <w:rPr>
          <w:rFonts w:eastAsia="SimSun" w:cs="Century Gothic"/>
          <w:color w:val="002060"/>
          <w:sz w:val="32"/>
          <w:szCs w:val="32"/>
          <w:lang w:eastAsia="zh-CN"/>
        </w:rPr>
      </w:pPr>
      <w:r>
        <w:rPr>
          <w:rFonts w:eastAsia="SimSun" w:cs="Century Gothic"/>
          <w:color w:val="002060"/>
          <w:sz w:val="32"/>
          <w:szCs w:val="32"/>
          <w:lang w:eastAsia="zh-CN"/>
        </w:rPr>
        <w:t>Cassa Depositi e Prestiti. Attenzione ai “moderni” Buoni fruttiferi postali FP in vetrina di Poste Italiane! Di fruttifero hanno pochino</w:t>
      </w:r>
    </w:p>
    <w:p w:rsidR="000132AF" w:rsidRDefault="000132AF" w:rsidP="000132AF">
      <w:pPr>
        <w:spacing w:line="360" w:lineRule="auto"/>
        <w:ind w:left="600" w:right="742"/>
        <w:jc w:val="center"/>
        <w:rPr>
          <w:rFonts w:eastAsia="SimSun" w:cs="Century Gothic"/>
          <w:color w:val="002060"/>
          <w:sz w:val="24"/>
          <w:szCs w:val="24"/>
          <w:lang w:eastAsia="zh-CN"/>
        </w:rPr>
      </w:pPr>
      <w:r>
        <w:rPr>
          <w:rFonts w:eastAsia="SimSun" w:cs="Century Gothic"/>
          <w:color w:val="002060"/>
          <w:sz w:val="24"/>
          <w:szCs w:val="24"/>
          <w:lang w:eastAsia="zh-CN"/>
        </w:rPr>
        <w:t>Di Mauro Novelli  11-3-2014</w:t>
      </w:r>
    </w:p>
    <w:p w:rsidR="000132AF" w:rsidRDefault="000132AF" w:rsidP="000132AF">
      <w:pPr>
        <w:spacing w:line="360" w:lineRule="auto"/>
        <w:ind w:left="600" w:right="742"/>
        <w:rPr>
          <w:rFonts w:eastAsia="SimSun" w:cs="Century Gothic"/>
          <w:color w:val="002060"/>
          <w:sz w:val="24"/>
          <w:szCs w:val="24"/>
          <w:lang w:eastAsia="zh-CN"/>
        </w:rPr>
      </w:pPr>
    </w:p>
    <w:tbl>
      <w:tblPr>
        <w:tblStyle w:val="Grigliatabella"/>
        <w:tblpPr w:leftFromText="141" w:rightFromText="141" w:bottomFromText="80" w:vertAnchor="text" w:horzAnchor="margin" w:tblpY="-113"/>
        <w:tblOverlap w:val="never"/>
        <w:tblW w:w="4891" w:type="pct"/>
        <w:tblLook w:val="04A0" w:firstRow="1" w:lastRow="0" w:firstColumn="1" w:lastColumn="0" w:noHBand="0" w:noVBand="1"/>
      </w:tblPr>
      <w:tblGrid>
        <w:gridCol w:w="3174"/>
        <w:gridCol w:w="308"/>
        <w:gridCol w:w="2870"/>
        <w:gridCol w:w="341"/>
        <w:gridCol w:w="2946"/>
      </w:tblGrid>
      <w:tr w:rsidR="000132AF" w:rsidTr="00017B28">
        <w:tc>
          <w:tcPr>
            <w:tcW w:w="1646"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0132AF" w:rsidRDefault="000132AF" w:rsidP="00017B28">
            <w:pPr>
              <w:spacing w:after="0" w:line="240" w:lineRule="auto"/>
              <w:ind w:left="28"/>
              <w:rPr>
                <w:rFonts w:asciiTheme="minorHAnsi" w:hAnsiTheme="minorHAnsi"/>
                <w:color w:val="002060"/>
                <w:sz w:val="24"/>
                <w:szCs w:val="24"/>
                <w:lang w:eastAsia="en-US"/>
              </w:rPr>
            </w:pPr>
            <w:proofErr w:type="spellStart"/>
            <w:r>
              <w:rPr>
                <w:rFonts w:asciiTheme="minorHAnsi" w:hAnsiTheme="minorHAnsi"/>
                <w:color w:val="002060"/>
                <w:sz w:val="24"/>
                <w:szCs w:val="24"/>
              </w:rPr>
              <w:t>BFPostali</w:t>
            </w:r>
            <w:proofErr w:type="spellEnd"/>
            <w:r>
              <w:rPr>
                <w:rFonts w:asciiTheme="minorHAnsi" w:hAnsiTheme="minorHAnsi"/>
                <w:color w:val="002060"/>
                <w:sz w:val="24"/>
                <w:szCs w:val="24"/>
              </w:rPr>
              <w:t xml:space="preserve"> Europa: garantito un rendimento minimo. Il grosso è legato alle azioni dell’Euro </w:t>
            </w:r>
            <w:proofErr w:type="spellStart"/>
            <w:r>
              <w:rPr>
                <w:rFonts w:asciiTheme="minorHAnsi" w:hAnsiTheme="minorHAnsi"/>
                <w:color w:val="002060"/>
                <w:sz w:val="24"/>
                <w:szCs w:val="24"/>
              </w:rPr>
              <w:t>Stoxx</w:t>
            </w:r>
            <w:proofErr w:type="spellEnd"/>
            <w:r>
              <w:rPr>
                <w:rFonts w:asciiTheme="minorHAnsi" w:hAnsiTheme="minorHAnsi"/>
                <w:color w:val="002060"/>
                <w:sz w:val="24"/>
                <w:szCs w:val="24"/>
              </w:rPr>
              <w:t xml:space="preserve"> 50.</w:t>
            </w:r>
          </w:p>
        </w:tc>
        <w:tc>
          <w:tcPr>
            <w:tcW w:w="160" w:type="pct"/>
            <w:tcBorders>
              <w:top w:val="single" w:sz="4" w:space="0" w:color="FFFFFF" w:themeColor="background1"/>
              <w:left w:val="single" w:sz="4" w:space="0" w:color="000000"/>
              <w:bottom w:val="single" w:sz="4" w:space="0" w:color="FFFFFF" w:themeColor="background1"/>
              <w:right w:val="single" w:sz="4" w:space="0" w:color="000000"/>
            </w:tcBorders>
          </w:tcPr>
          <w:p w:rsidR="000132AF" w:rsidRDefault="000132AF" w:rsidP="00017B28">
            <w:pPr>
              <w:spacing w:after="0" w:line="240" w:lineRule="auto"/>
              <w:ind w:left="600" w:right="742"/>
              <w:rPr>
                <w:rFonts w:asciiTheme="minorHAnsi" w:hAnsiTheme="minorHAnsi"/>
                <w:color w:val="002060"/>
                <w:sz w:val="24"/>
                <w:szCs w:val="24"/>
                <w:lang w:eastAsia="en-US"/>
              </w:rPr>
            </w:pPr>
          </w:p>
        </w:tc>
        <w:tc>
          <w:tcPr>
            <w:tcW w:w="1489"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0132AF" w:rsidRDefault="000132AF" w:rsidP="00017B28">
            <w:pPr>
              <w:spacing w:after="0" w:line="240" w:lineRule="auto"/>
              <w:ind w:right="29"/>
              <w:rPr>
                <w:rFonts w:asciiTheme="minorHAnsi" w:hAnsiTheme="minorHAnsi"/>
                <w:color w:val="002060"/>
                <w:sz w:val="24"/>
                <w:szCs w:val="24"/>
                <w:lang w:eastAsia="en-US"/>
              </w:rPr>
            </w:pPr>
            <w:proofErr w:type="spellStart"/>
            <w:r>
              <w:rPr>
                <w:rFonts w:asciiTheme="minorHAnsi" w:hAnsiTheme="minorHAnsi"/>
                <w:color w:val="002060"/>
                <w:sz w:val="24"/>
                <w:szCs w:val="24"/>
              </w:rPr>
              <w:t>BFPostali</w:t>
            </w:r>
            <w:proofErr w:type="spellEnd"/>
            <w:r>
              <w:rPr>
                <w:rFonts w:asciiTheme="minorHAnsi" w:hAnsiTheme="minorHAnsi"/>
                <w:color w:val="002060"/>
                <w:sz w:val="24"/>
                <w:szCs w:val="24"/>
              </w:rPr>
              <w:t xml:space="preserve"> </w:t>
            </w:r>
            <w:proofErr w:type="spellStart"/>
            <w:r>
              <w:rPr>
                <w:rFonts w:asciiTheme="minorHAnsi" w:hAnsiTheme="minorHAnsi"/>
                <w:color w:val="002060"/>
                <w:sz w:val="24"/>
                <w:szCs w:val="24"/>
              </w:rPr>
              <w:t>Renditalia</w:t>
            </w:r>
            <w:proofErr w:type="spellEnd"/>
            <w:r>
              <w:rPr>
                <w:rFonts w:asciiTheme="minorHAnsi" w:hAnsiTheme="minorHAnsi"/>
                <w:color w:val="002060"/>
                <w:sz w:val="24"/>
                <w:szCs w:val="24"/>
              </w:rPr>
              <w:t>: rendimento basso, ma in concorrenza con quello dei BOT.</w:t>
            </w:r>
          </w:p>
        </w:tc>
        <w:tc>
          <w:tcPr>
            <w:tcW w:w="177" w:type="pct"/>
            <w:tcBorders>
              <w:top w:val="single" w:sz="4" w:space="0" w:color="FFFFFF" w:themeColor="background1"/>
              <w:left w:val="single" w:sz="4" w:space="0" w:color="000000"/>
              <w:bottom w:val="single" w:sz="4" w:space="0" w:color="FFFFFF" w:themeColor="background1"/>
              <w:right w:val="single" w:sz="4" w:space="0" w:color="000000"/>
            </w:tcBorders>
          </w:tcPr>
          <w:p w:rsidR="000132AF" w:rsidRDefault="000132AF" w:rsidP="00017B28">
            <w:pPr>
              <w:spacing w:after="0" w:line="240" w:lineRule="auto"/>
              <w:ind w:left="600" w:right="742"/>
              <w:rPr>
                <w:rFonts w:asciiTheme="minorHAnsi" w:hAnsiTheme="minorHAnsi"/>
                <w:color w:val="002060"/>
                <w:sz w:val="24"/>
                <w:szCs w:val="24"/>
                <w:lang w:eastAsia="en-US"/>
              </w:rPr>
            </w:pPr>
          </w:p>
        </w:tc>
        <w:tc>
          <w:tcPr>
            <w:tcW w:w="1528" w:type="pct"/>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0132AF" w:rsidRDefault="000132AF" w:rsidP="00017B28">
            <w:pPr>
              <w:spacing w:after="0" w:line="240" w:lineRule="auto"/>
              <w:ind w:left="32"/>
              <w:rPr>
                <w:rFonts w:asciiTheme="minorHAnsi" w:hAnsiTheme="minorHAnsi"/>
                <w:color w:val="002060"/>
                <w:sz w:val="24"/>
                <w:szCs w:val="24"/>
                <w:lang w:eastAsia="en-US"/>
              </w:rPr>
            </w:pPr>
            <w:r>
              <w:rPr>
                <w:rFonts w:asciiTheme="minorHAnsi" w:hAnsiTheme="minorHAnsi"/>
                <w:color w:val="002060"/>
                <w:sz w:val="24"/>
                <w:szCs w:val="24"/>
              </w:rPr>
              <w:t>Con quali argomentazioni i due BFP moderni vengono collocati agli sportelli postali?</w:t>
            </w:r>
          </w:p>
        </w:tc>
      </w:tr>
    </w:tbl>
    <w:p w:rsidR="000132AF" w:rsidRDefault="000132AF" w:rsidP="000132AF">
      <w:pPr>
        <w:spacing w:line="360" w:lineRule="auto"/>
        <w:ind w:left="600" w:right="742"/>
        <w:rPr>
          <w:rFonts w:eastAsia="SimSun" w:cs="Century Gothic"/>
          <w:color w:val="002060"/>
          <w:sz w:val="24"/>
          <w:szCs w:val="24"/>
          <w:lang w:eastAsia="zh-CN"/>
        </w:rPr>
      </w:pPr>
    </w:p>
    <w:p w:rsidR="000132AF" w:rsidRDefault="000132AF" w:rsidP="000132AF">
      <w:pPr>
        <w:spacing w:line="360" w:lineRule="auto"/>
        <w:ind w:right="742"/>
        <w:rPr>
          <w:rFonts w:eastAsia="SimSun" w:cs="Century Gothic"/>
          <w:b/>
          <w:color w:val="002060"/>
          <w:sz w:val="24"/>
          <w:szCs w:val="24"/>
          <w:lang w:eastAsia="zh-CN"/>
        </w:rPr>
      </w:pPr>
      <w:r>
        <w:rPr>
          <w:rFonts w:eastAsia="SimSun" w:cs="Century Gothic"/>
          <w:b/>
          <w:color w:val="002060"/>
          <w:sz w:val="24"/>
          <w:szCs w:val="24"/>
          <w:lang w:eastAsia="zh-CN"/>
        </w:rPr>
        <w:t xml:space="preserve">- </w:t>
      </w:r>
      <w:hyperlink w:anchor="_DOCUMENTAZIONE" w:history="1">
        <w:r>
          <w:rPr>
            <w:rStyle w:val="Collegamentoipertestuale"/>
            <w:rFonts w:cs="Century Gothic"/>
            <w:b/>
            <w:sz w:val="24"/>
            <w:szCs w:val="24"/>
            <w:lang w:eastAsia="zh-CN"/>
          </w:rPr>
          <w:t>Documentazione</w:t>
        </w:r>
      </w:hyperlink>
    </w:p>
    <w:p w:rsidR="000132AF" w:rsidRDefault="000132AF" w:rsidP="000132AF">
      <w:pPr>
        <w:shd w:val="clear" w:color="auto" w:fill="FFFFFF"/>
        <w:spacing w:after="0" w:line="360" w:lineRule="auto"/>
        <w:jc w:val="left"/>
        <w:outlineLvl w:val="0"/>
        <w:rPr>
          <w:rFonts w:eastAsia="Times New Roman"/>
          <w:bCs/>
          <w:color w:val="002060"/>
          <w:kern w:val="36"/>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Basta con i vecchi e amati Buoni fruttiferi postali!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CDP si mette al passo della moda dominata dal piacere del rischio e dell’azzardo:</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hyperlink w:anchor="_Buoni_Fruttiferi_Postali" w:history="1">
        <w:r>
          <w:rPr>
            <w:rStyle w:val="Collegamentoipertestuale"/>
            <w:rFonts w:eastAsia="Times New Roman"/>
            <w:b/>
            <w:bCs/>
            <w:kern w:val="36"/>
            <w:sz w:val="24"/>
            <w:szCs w:val="24"/>
          </w:rPr>
          <w:t>Buoni Fruttiferi Postali "BFP Europa":</w:t>
        </w:r>
      </w:hyperlink>
      <w:r>
        <w:rPr>
          <w:rFonts w:eastAsia="Times New Roman"/>
          <w:bCs/>
          <w:color w:val="0068AE"/>
          <w:kern w:val="36"/>
          <w:sz w:val="24"/>
          <w:szCs w:val="24"/>
        </w:rPr>
        <w:t xml:space="preserve"> </w:t>
      </w:r>
      <w:r w:rsidRPr="00C37822">
        <w:rPr>
          <w:rFonts w:eastAsia="Times New Roman"/>
          <w:bCs/>
          <w:i/>
          <w:color w:val="002060"/>
          <w:kern w:val="36"/>
          <w:sz w:val="24"/>
          <w:szCs w:val="24"/>
        </w:rPr>
        <w:t>Un investimento che ti premia nel corso degli anni!</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 Sono emessi dal 10 giugno 2013. Sono quadriennali.</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Lo 0,5 percento garantito all’anno per un rendimento pari al 2,02 percento complessivo per  4 anni (durata del BFP), più un rendimento premio del 3% l’anno se l’ EURO STOXX 50 cresce del 7 percento il primo anno e del 10 nei restanti tre.  Nessun premio se l’indice resta al di sotto. L’Euro </w:t>
      </w:r>
      <w:proofErr w:type="spellStart"/>
      <w:r>
        <w:rPr>
          <w:rFonts w:eastAsia="Times New Roman"/>
          <w:bCs/>
          <w:color w:val="002060"/>
          <w:kern w:val="36"/>
          <w:sz w:val="24"/>
          <w:szCs w:val="24"/>
        </w:rPr>
        <w:t>Stoxx</w:t>
      </w:r>
      <w:proofErr w:type="spellEnd"/>
      <w:r>
        <w:rPr>
          <w:rFonts w:eastAsia="Times New Roman"/>
          <w:bCs/>
          <w:color w:val="002060"/>
          <w:kern w:val="36"/>
          <w:sz w:val="24"/>
          <w:szCs w:val="24"/>
        </w:rPr>
        <w:t xml:space="preserve"> è un indice che copre 50 blue-chips di 12 paesi della zona euro: Austria, Belgio, Finlandia, Francia, Germania, Grecia, Irlanda, Italia, Lussemburgo, Paesi Bassi, Portogallo e Spagna.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lastRenderedPageBreak/>
        <w:t>Grazie a CDP anche i nostri vecchi, amanti dei classici BFP, possono provare il brivido del rischio.</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Peccato che lo slogan di promozione (Un investimento che ti premia nel corso degli anni!) sia del tutto ingannevole! Si potrebbe coinvolgere l’Antitrust per pubblicità ingannevole.</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In diretta concorrenza con i BOT, altri BPF moderni:</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hyperlink w:anchor="_Buoni_Fruttiferi_Postali_1" w:history="1">
        <w:r>
          <w:rPr>
            <w:rStyle w:val="Collegamentoipertestuale"/>
            <w:rFonts w:eastAsia="Times New Roman"/>
            <w:b/>
            <w:bCs/>
            <w:kern w:val="36"/>
            <w:sz w:val="24"/>
            <w:szCs w:val="24"/>
          </w:rPr>
          <w:t xml:space="preserve">Buoni Fruttiferi Postali "BFP </w:t>
        </w:r>
        <w:proofErr w:type="spellStart"/>
        <w:r>
          <w:rPr>
            <w:rStyle w:val="Collegamentoipertestuale"/>
            <w:rFonts w:eastAsia="Times New Roman"/>
            <w:b/>
            <w:bCs/>
            <w:kern w:val="36"/>
            <w:sz w:val="24"/>
            <w:szCs w:val="24"/>
          </w:rPr>
          <w:t>Renditalia</w:t>
        </w:r>
        <w:proofErr w:type="spellEnd"/>
        <w:r>
          <w:rPr>
            <w:rStyle w:val="Collegamentoipertestuale"/>
            <w:rFonts w:eastAsia="Times New Roman"/>
            <w:b/>
            <w:bCs/>
            <w:kern w:val="36"/>
            <w:sz w:val="24"/>
            <w:szCs w:val="24"/>
          </w:rPr>
          <w:t>":</w:t>
        </w:r>
      </w:hyperlink>
      <w:r>
        <w:rPr>
          <w:rFonts w:eastAsia="Times New Roman"/>
          <w:bCs/>
          <w:color w:val="0068AE"/>
          <w:kern w:val="36"/>
          <w:sz w:val="24"/>
          <w:szCs w:val="24"/>
        </w:rPr>
        <w:t xml:space="preserve"> </w:t>
      </w:r>
      <w:r w:rsidRPr="00C37822">
        <w:rPr>
          <w:rFonts w:eastAsia="Times New Roman"/>
          <w:bCs/>
          <w:i/>
          <w:color w:val="002060"/>
          <w:kern w:val="36"/>
          <w:sz w:val="24"/>
          <w:szCs w:val="24"/>
        </w:rPr>
        <w:t>Un rendimento sicuro legato ai Titoli di Stato.</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Sono emessi dal 1° aprile 2013. Sono triennali.</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Basta con i vecchi e stantii BOT! CDP si mette in concorrenza con il Tesoro e ai sottoscrittori di BPF </w:t>
      </w:r>
      <w:proofErr w:type="spellStart"/>
      <w:r>
        <w:rPr>
          <w:rFonts w:eastAsia="Times New Roman"/>
          <w:bCs/>
          <w:color w:val="002060"/>
          <w:kern w:val="36"/>
          <w:sz w:val="24"/>
          <w:szCs w:val="24"/>
        </w:rPr>
        <w:t>Renditalia</w:t>
      </w:r>
      <w:proofErr w:type="spellEnd"/>
      <w:r>
        <w:rPr>
          <w:rFonts w:eastAsia="Times New Roman"/>
          <w:bCs/>
          <w:color w:val="002060"/>
          <w:kern w:val="36"/>
          <w:sz w:val="24"/>
          <w:szCs w:val="24"/>
        </w:rPr>
        <w:t xml:space="preserve"> (triennali), regala uno 0,15 percento in più dei rendimenti dei BOT-6 mesi (in questo periodo, al di sotto dell’1%).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Ricordiamo che la ritenuta fiscale sui rendimenti dei BFP è del 12,5 % e che l’imposta di bollo è dello 0,2%. [Sono comunque esenti i buoni con valore di rimborso inferiore ai 5mila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Per permettere un paragone con i BFP “normali”, riportiamo i rendimenti dei titoli sottoscrivibili dal 10 marzo 2014:</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proofErr w:type="spellStart"/>
      <w:r>
        <w:rPr>
          <w:rFonts w:eastAsia="Times New Roman" w:cs="Times New Roman"/>
          <w:b/>
          <w:iCs/>
          <w:sz w:val="24"/>
          <w:szCs w:val="24"/>
        </w:rPr>
        <w:t>BFPDiciottomesi</w:t>
      </w:r>
      <w:proofErr w:type="spellEnd"/>
      <w:r>
        <w:rPr>
          <w:rFonts w:eastAsia="Times New Roman" w:cs="Times New Roman"/>
          <w:b/>
          <w:iCs/>
          <w:sz w:val="24"/>
          <w:szCs w:val="24"/>
        </w:rPr>
        <w:t>, serie D50:</w:t>
      </w:r>
      <w:r>
        <w:rPr>
          <w:rFonts w:eastAsia="Times New Roman" w:cs="Times New Roman"/>
          <w:iCs/>
          <w:sz w:val="24"/>
          <w:szCs w:val="24"/>
        </w:rPr>
        <w:t xml:space="preserve"> </w:t>
      </w:r>
      <w:r>
        <w:rPr>
          <w:rFonts w:eastAsia="Times New Roman"/>
          <w:bCs/>
          <w:color w:val="002060"/>
          <w:kern w:val="36"/>
          <w:sz w:val="24"/>
          <w:szCs w:val="24"/>
        </w:rPr>
        <w:t>titoli fissi a 18 mesi con interessi crescenti liquidati alla scadenza dei 3 semestri. I tassi sono invariati rispetto ultime due serie: 0,25% alla fine del primo semestre, 0,37% a fine secondo, 0,58% alla fine del terzo.</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cs="Times New Roman"/>
          <w:b/>
          <w:iCs/>
          <w:sz w:val="24"/>
          <w:szCs w:val="24"/>
        </w:rPr>
        <w:t>BFP7insieme, serie S26</w:t>
      </w:r>
      <w:r>
        <w:rPr>
          <w:rFonts w:eastAsia="Times New Roman" w:cs="Times New Roman"/>
          <w:iCs/>
          <w:sz w:val="24"/>
          <w:szCs w:val="24"/>
        </w:rPr>
        <w:t xml:space="preserve">: </w:t>
      </w:r>
      <w:r>
        <w:rPr>
          <w:rFonts w:eastAsia="Times New Roman"/>
          <w:bCs/>
          <w:color w:val="002060"/>
          <w:kern w:val="36"/>
          <w:sz w:val="24"/>
          <w:szCs w:val="24"/>
        </w:rPr>
        <w:t>sono buoni postali di medio-lungo periodo. Durano 7 anni e ogni anno dal primo al sesto, rendono il 2,50% del capitale iniziale mentre alla fine del settimo c’è il riscatto del capitale restante maggiorato d’un tasso di rendimento annuo pari all’1,91% netto (2,25% lordo).</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Ma quanti BFP “moderni”, emessi per la prima volta il 10-6-.2013 (</w:t>
      </w:r>
      <w:proofErr w:type="spellStart"/>
      <w:r>
        <w:rPr>
          <w:rFonts w:eastAsia="Times New Roman"/>
          <w:bCs/>
          <w:color w:val="002060"/>
          <w:kern w:val="36"/>
          <w:sz w:val="24"/>
          <w:szCs w:val="24"/>
        </w:rPr>
        <w:t>BFPEuropa</w:t>
      </w:r>
      <w:proofErr w:type="spellEnd"/>
      <w:r>
        <w:rPr>
          <w:rFonts w:eastAsia="Times New Roman"/>
          <w:bCs/>
          <w:color w:val="002060"/>
          <w:kern w:val="36"/>
          <w:sz w:val="24"/>
          <w:szCs w:val="24"/>
        </w:rPr>
        <w:t xml:space="preserve">) e il 1° aprile 2013 (BFP </w:t>
      </w:r>
      <w:proofErr w:type="spellStart"/>
      <w:r>
        <w:rPr>
          <w:rFonts w:eastAsia="Times New Roman"/>
          <w:bCs/>
          <w:color w:val="002060"/>
          <w:kern w:val="36"/>
          <w:sz w:val="24"/>
          <w:szCs w:val="24"/>
        </w:rPr>
        <w:t>Renditalia</w:t>
      </w:r>
      <w:proofErr w:type="spellEnd"/>
      <w:r>
        <w:rPr>
          <w:rFonts w:eastAsia="Times New Roman"/>
          <w:bCs/>
          <w:color w:val="002060"/>
          <w:kern w:val="36"/>
          <w:sz w:val="24"/>
          <w:szCs w:val="24"/>
        </w:rPr>
        <w:t xml:space="preserve">), sono stati sottoscritti? </w:t>
      </w:r>
    </w:p>
    <w:p w:rsidR="000132AF" w:rsidRDefault="000132AF" w:rsidP="000132AF">
      <w:pPr>
        <w:shd w:val="clear" w:color="auto" w:fill="FFFFFF"/>
        <w:spacing w:after="0" w:line="360" w:lineRule="auto"/>
        <w:ind w:left="317" w:right="520"/>
        <w:outlineLvl w:val="0"/>
        <w:rPr>
          <w:rFonts w:eastAsia="Times New Roman"/>
          <w:iCs/>
          <w:sz w:val="24"/>
          <w:szCs w:val="24"/>
        </w:rPr>
      </w:pPr>
      <w:r>
        <w:rPr>
          <w:rFonts w:eastAsia="Times New Roman"/>
          <w:bCs/>
          <w:color w:val="002060"/>
          <w:kern w:val="36"/>
          <w:sz w:val="24"/>
          <w:szCs w:val="24"/>
        </w:rPr>
        <w:t xml:space="preserve">Sul sito di Cassa Depositi e Prestiti </w:t>
      </w:r>
      <w:r>
        <w:rPr>
          <w:rFonts w:eastAsia="Times New Roman"/>
          <w:iCs/>
          <w:sz w:val="24"/>
          <w:szCs w:val="24"/>
        </w:rPr>
        <w:t>(</w:t>
      </w:r>
      <w:hyperlink r:id="rId6" w:history="1">
        <w:r>
          <w:rPr>
            <w:rStyle w:val="Collegamentoipertestuale"/>
            <w:rFonts w:eastAsia="Times New Roman"/>
            <w:iCs/>
            <w:sz w:val="24"/>
            <w:szCs w:val="24"/>
          </w:rPr>
          <w:t>www.cassaddpp.it</w:t>
        </w:r>
      </w:hyperlink>
      <w:r>
        <w:rPr>
          <w:rFonts w:eastAsia="Times New Roman"/>
          <w:bCs/>
          <w:color w:val="002060"/>
          <w:kern w:val="36"/>
          <w:sz w:val="24"/>
          <w:szCs w:val="24"/>
        </w:rPr>
        <w:t>)  la Relazione intermedia sulla gestione al 30 giugno 2013 fornisce i dati relativi alla raccolta netta di BFP del primo semestre 2013.</w:t>
      </w:r>
      <w:r>
        <w:rPr>
          <w:rFonts w:eastAsia="Times New Roman"/>
          <w:iCs/>
          <w:sz w:val="24"/>
          <w:szCs w:val="24"/>
        </w:rPr>
        <w:t xml:space="preserve"> </w:t>
      </w:r>
    </w:p>
    <w:p w:rsidR="000132AF" w:rsidRDefault="000132AF" w:rsidP="000132AF">
      <w:pPr>
        <w:shd w:val="clear" w:color="auto" w:fill="FFFFFF"/>
        <w:spacing w:after="0" w:line="360" w:lineRule="auto"/>
        <w:ind w:left="317" w:right="520"/>
        <w:outlineLvl w:val="0"/>
        <w:rPr>
          <w:rFonts w:eastAsia="Times New Roman"/>
          <w:iCs/>
          <w:sz w:val="24"/>
          <w:szCs w:val="24"/>
        </w:rPr>
      </w:pPr>
    </w:p>
    <w:p w:rsidR="000132AF" w:rsidRDefault="000132AF" w:rsidP="000132AF">
      <w:pPr>
        <w:shd w:val="clear" w:color="auto" w:fill="FFFFFF"/>
        <w:spacing w:after="0" w:line="360" w:lineRule="auto"/>
        <w:ind w:left="317" w:right="520"/>
        <w:outlineLvl w:val="0"/>
        <w:rPr>
          <w:rFonts w:eastAsia="Times New Roman"/>
          <w:iCs/>
          <w:sz w:val="24"/>
          <w:szCs w:val="24"/>
        </w:rPr>
      </w:pPr>
      <w:r>
        <w:rPr>
          <w:rFonts w:eastAsia="Times New Roman"/>
          <w:noProof/>
          <w:sz w:val="24"/>
          <w:szCs w:val="24"/>
          <w:lang w:eastAsia="it-IT"/>
        </w:rPr>
        <w:drawing>
          <wp:inline distT="0" distB="0" distL="0" distR="0" wp14:anchorId="5F6C6097" wp14:editId="5BC277EA">
            <wp:extent cx="7246620" cy="3802380"/>
            <wp:effectExtent l="0" t="0" r="0" b="7620"/>
            <wp:docPr id="7" name="Immagine 8" descr="BFP raccolta 1° sem.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BFP raccolta 1° sem. 20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46620" cy="3802380"/>
                    </a:xfrm>
                    <a:prstGeom prst="rect">
                      <a:avLst/>
                    </a:prstGeom>
                    <a:noFill/>
                    <a:ln>
                      <a:noFill/>
                    </a:ln>
                  </pic:spPr>
                </pic:pic>
              </a:graphicData>
            </a:graphic>
          </wp:inline>
        </w:drawing>
      </w:r>
    </w:p>
    <w:p w:rsidR="000132AF" w:rsidRDefault="000132AF" w:rsidP="000132AF">
      <w:pPr>
        <w:shd w:val="clear" w:color="auto" w:fill="FFFFFF"/>
        <w:spacing w:after="0" w:line="360" w:lineRule="auto"/>
        <w:ind w:left="317" w:right="520"/>
        <w:outlineLvl w:val="0"/>
        <w:rPr>
          <w:rFonts w:eastAsia="Times New Roman"/>
          <w:iCs/>
          <w:sz w:val="24"/>
          <w:szCs w:val="24"/>
        </w:rPr>
      </w:pP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Quindi, in 3 mesi (aprile-giugno) sono stati collocati 216 milioni di </w:t>
      </w:r>
      <w:proofErr w:type="spellStart"/>
      <w:r>
        <w:rPr>
          <w:rFonts w:eastAsia="Times New Roman"/>
          <w:bCs/>
          <w:color w:val="002060"/>
          <w:kern w:val="36"/>
          <w:sz w:val="24"/>
          <w:szCs w:val="24"/>
        </w:rPr>
        <w:t>BFPRenditalia</w:t>
      </w:r>
      <w:proofErr w:type="spellEnd"/>
      <w:r>
        <w:rPr>
          <w:rFonts w:eastAsia="Times New Roman"/>
          <w:bCs/>
          <w:color w:val="002060"/>
          <w:kern w:val="36"/>
          <w:sz w:val="24"/>
          <w:szCs w:val="24"/>
        </w:rPr>
        <w:t xml:space="preserve"> (quelli che fanno concorrenza ai BOT) e ne sono stati riscattati 5 milioni (chissà perché?).  Mentre in 20 giorni (dal 10 al 30 giugno) sono stati collocati 40 milioni di </w:t>
      </w:r>
      <w:proofErr w:type="spellStart"/>
      <w:r>
        <w:rPr>
          <w:rFonts w:eastAsia="Times New Roman"/>
          <w:bCs/>
          <w:color w:val="002060"/>
          <w:kern w:val="36"/>
          <w:sz w:val="24"/>
          <w:szCs w:val="24"/>
        </w:rPr>
        <w:t>BFPEuropa</w:t>
      </w:r>
      <w:proofErr w:type="spellEnd"/>
      <w:r>
        <w:rPr>
          <w:rFonts w:eastAsia="Times New Roman"/>
          <w:bCs/>
          <w:color w:val="002060"/>
          <w:kern w:val="36"/>
          <w:sz w:val="24"/>
          <w:szCs w:val="24"/>
        </w:rPr>
        <w:t>.</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Ci chiediamo come siano “promossi”, presso gli uffici postali, questi più moderni BFP Europa e </w:t>
      </w:r>
      <w:proofErr w:type="spellStart"/>
      <w:r>
        <w:rPr>
          <w:rFonts w:eastAsia="Times New Roman"/>
          <w:bCs/>
          <w:color w:val="002060"/>
          <w:kern w:val="36"/>
          <w:sz w:val="24"/>
          <w:szCs w:val="24"/>
        </w:rPr>
        <w:t>Renditalia</w:t>
      </w:r>
      <w:proofErr w:type="spellEnd"/>
      <w:r>
        <w:rPr>
          <w:rFonts w:eastAsia="Times New Roman"/>
          <w:bCs/>
          <w:color w:val="002060"/>
          <w:kern w:val="36"/>
          <w:sz w:val="24"/>
          <w:szCs w:val="24"/>
        </w:rPr>
        <w:t xml:space="preserve">.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Sono stati dati dei budget ai direttori?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Sono stati promessi bonus per chi raggiunge gli obbiettivi? </w:t>
      </w:r>
    </w:p>
    <w:p w:rsidR="000132AF" w:rsidRDefault="000132AF" w:rsidP="000132AF">
      <w:pPr>
        <w:shd w:val="clear" w:color="auto" w:fill="FFFFFF"/>
        <w:spacing w:after="0" w:line="360" w:lineRule="auto"/>
        <w:ind w:left="317" w:right="520"/>
        <w:outlineLvl w:val="0"/>
        <w:rPr>
          <w:rFonts w:eastAsia="Times New Roman"/>
          <w:bCs/>
          <w:color w:val="002060"/>
          <w:kern w:val="36"/>
          <w:sz w:val="24"/>
          <w:szCs w:val="24"/>
        </w:rPr>
      </w:pPr>
      <w:r>
        <w:rPr>
          <w:rFonts w:eastAsia="Times New Roman"/>
          <w:bCs/>
          <w:color w:val="002060"/>
          <w:kern w:val="36"/>
          <w:sz w:val="24"/>
          <w:szCs w:val="24"/>
        </w:rPr>
        <w:t xml:space="preserve">Quali argomentazioni si suggeriscono per convincere il  cliente a sottoscriverli? </w:t>
      </w:r>
    </w:p>
    <w:p w:rsidR="000132AF" w:rsidRDefault="000132AF" w:rsidP="000132AF">
      <w:pPr>
        <w:shd w:val="clear" w:color="auto" w:fill="FFFFFF"/>
        <w:spacing w:after="0" w:line="360" w:lineRule="auto"/>
        <w:jc w:val="left"/>
        <w:outlineLvl w:val="0"/>
        <w:rPr>
          <w:rFonts w:eastAsia="Times New Roman"/>
          <w:iCs/>
          <w:sz w:val="24"/>
          <w:szCs w:val="24"/>
        </w:rPr>
      </w:pPr>
    </w:p>
    <w:p w:rsidR="000132AF" w:rsidRDefault="000132AF" w:rsidP="000132AF">
      <w:pPr>
        <w:shd w:val="clear" w:color="auto" w:fill="FFFFFF"/>
        <w:spacing w:after="0" w:line="360" w:lineRule="auto"/>
        <w:jc w:val="left"/>
        <w:outlineLvl w:val="0"/>
        <w:rPr>
          <w:rFonts w:eastAsia="Times New Roman"/>
          <w:iCs/>
          <w:sz w:val="24"/>
          <w:szCs w:val="24"/>
        </w:rPr>
      </w:pPr>
    </w:p>
    <w:p w:rsidR="000132AF" w:rsidRDefault="000132AF" w:rsidP="000132AF">
      <w:pPr>
        <w:pBdr>
          <w:bottom w:val="single" w:sz="12" w:space="1" w:color="auto"/>
        </w:pBdr>
        <w:shd w:val="clear" w:color="auto" w:fill="FFFFFF"/>
        <w:spacing w:before="120" w:after="0" w:line="360" w:lineRule="auto"/>
        <w:jc w:val="left"/>
        <w:outlineLvl w:val="0"/>
        <w:rPr>
          <w:rFonts w:eastAsia="Times New Roman" w:cs="Times New Roman"/>
          <w:iCs/>
          <w:sz w:val="24"/>
          <w:szCs w:val="24"/>
        </w:rPr>
      </w:pP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p>
    <w:p w:rsidR="000132AF" w:rsidRDefault="000132AF" w:rsidP="000132AF">
      <w:pPr>
        <w:pStyle w:val="Titolo2"/>
        <w:rPr>
          <w:color w:val="17365D" w:themeColor="text2" w:themeShade="BF"/>
          <w:shd w:val="clear" w:color="auto" w:fill="FFFFFF"/>
        </w:rPr>
      </w:pPr>
      <w:bookmarkStart w:id="0" w:name="_DOCUMENTAZIONE"/>
      <w:bookmarkEnd w:id="0"/>
      <w:r>
        <w:rPr>
          <w:shd w:val="clear" w:color="auto" w:fill="FFFFFF"/>
        </w:rPr>
        <w:t>DOCUMENTAZIONE</w:t>
      </w:r>
    </w:p>
    <w:p w:rsidR="000132AF" w:rsidRDefault="000132AF" w:rsidP="000132AF">
      <w:pPr>
        <w:shd w:val="clear" w:color="auto" w:fill="FFFFFF"/>
        <w:spacing w:after="0" w:line="360" w:lineRule="auto"/>
        <w:jc w:val="center"/>
        <w:outlineLvl w:val="0"/>
        <w:rPr>
          <w:rFonts w:ascii="Verdana" w:hAnsi="Verdana"/>
          <w:color w:val="222222"/>
          <w:sz w:val="24"/>
          <w:szCs w:val="24"/>
          <w:shd w:val="clear" w:color="auto" w:fill="FFFFFF"/>
        </w:rPr>
      </w:pPr>
      <w:r>
        <w:rPr>
          <w:rFonts w:ascii="Verdana" w:hAnsi="Verdana"/>
          <w:color w:val="222222"/>
          <w:sz w:val="24"/>
          <w:szCs w:val="24"/>
          <w:shd w:val="clear" w:color="auto" w:fill="FFFFFF"/>
        </w:rPr>
        <w:pict>
          <v:rect id="_x0000_i1025" style="width:.05pt;height:1.8pt" o:hralign="center" o:hrstd="t" o:hr="t" fillcolor="#a0a0a0" stroked="f"/>
        </w:pict>
      </w: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p>
    <w:p w:rsidR="000132AF" w:rsidRDefault="000132AF" w:rsidP="000132AF">
      <w:pPr>
        <w:numPr>
          <w:ilvl w:val="0"/>
          <w:numId w:val="2"/>
        </w:numPr>
        <w:shd w:val="clear" w:color="auto" w:fill="FFFFFF"/>
        <w:spacing w:after="0" w:line="360" w:lineRule="auto"/>
        <w:jc w:val="left"/>
        <w:outlineLvl w:val="0"/>
        <w:rPr>
          <w:rFonts w:eastAsia="Times New Roman"/>
          <w:iCs/>
          <w:sz w:val="24"/>
          <w:szCs w:val="24"/>
        </w:rPr>
      </w:pPr>
      <w:r>
        <w:rPr>
          <w:rFonts w:ascii="Verdana" w:eastAsia="Times New Roman" w:hAnsi="Verdana"/>
          <w:b/>
          <w:bCs/>
          <w:color w:val="0068AE"/>
          <w:kern w:val="36"/>
          <w:sz w:val="24"/>
          <w:szCs w:val="24"/>
        </w:rPr>
        <w:t>Raccolta postale di CD&amp;P</w:t>
      </w:r>
      <w:r>
        <w:rPr>
          <w:rFonts w:ascii="Verdana" w:hAnsi="Verdana"/>
          <w:color w:val="222222"/>
          <w:sz w:val="24"/>
          <w:szCs w:val="24"/>
          <w:shd w:val="clear" w:color="auto" w:fill="FFFFFF"/>
        </w:rPr>
        <w:t xml:space="preserve"> (Da </w:t>
      </w:r>
      <w:r>
        <w:rPr>
          <w:rFonts w:eastAsia="Times New Roman"/>
          <w:iCs/>
          <w:sz w:val="24"/>
          <w:szCs w:val="24"/>
        </w:rPr>
        <w:t>Relazione intermedia sulla gestione al 30 giugno 2013)</w:t>
      </w: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r>
        <w:rPr>
          <w:rFonts w:ascii="Verdana" w:hAnsi="Verdana"/>
          <w:noProof/>
          <w:color w:val="222222"/>
          <w:sz w:val="24"/>
          <w:szCs w:val="24"/>
          <w:shd w:val="clear" w:color="auto" w:fill="FFFFFF"/>
          <w:lang w:eastAsia="it-IT"/>
        </w:rPr>
        <w:drawing>
          <wp:inline distT="0" distB="0" distL="0" distR="0" wp14:anchorId="6F4964F0" wp14:editId="6DB24851">
            <wp:extent cx="7452360" cy="1729740"/>
            <wp:effectExtent l="0" t="0" r="0" b="3810"/>
            <wp:docPr id="9" name="Immagine 9" descr="Raccolta postale 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Raccolta postale CD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2360" cy="1729740"/>
                    </a:xfrm>
                    <a:prstGeom prst="rect">
                      <a:avLst/>
                    </a:prstGeom>
                    <a:noFill/>
                    <a:ln>
                      <a:noFill/>
                    </a:ln>
                  </pic:spPr>
                </pic:pic>
              </a:graphicData>
            </a:graphic>
          </wp:inline>
        </w:drawing>
      </w: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p>
    <w:p w:rsidR="000132AF" w:rsidRDefault="000132AF" w:rsidP="000132AF">
      <w:pPr>
        <w:shd w:val="clear" w:color="auto" w:fill="FFFFFF"/>
        <w:spacing w:after="0" w:line="360" w:lineRule="auto"/>
        <w:jc w:val="center"/>
        <w:outlineLvl w:val="0"/>
        <w:rPr>
          <w:rFonts w:ascii="Verdana" w:hAnsi="Verdana"/>
          <w:color w:val="222222"/>
          <w:sz w:val="24"/>
          <w:szCs w:val="24"/>
          <w:shd w:val="clear" w:color="auto" w:fill="FFFFFF"/>
        </w:rPr>
      </w:pPr>
      <w:r>
        <w:rPr>
          <w:rFonts w:ascii="Verdana" w:hAnsi="Verdana"/>
          <w:color w:val="222222"/>
          <w:sz w:val="24"/>
          <w:szCs w:val="24"/>
          <w:shd w:val="clear" w:color="auto" w:fill="FFFFFF"/>
        </w:rPr>
        <w:pict>
          <v:rect id="_x0000_i1026" style="width:.05pt;height:1.8pt" o:hralign="center" o:hrstd="t" o:hr="t" fillcolor="#a0a0a0" stroked="f"/>
        </w:pict>
      </w:r>
    </w:p>
    <w:p w:rsidR="000132AF" w:rsidRDefault="000132AF" w:rsidP="000132AF">
      <w:pPr>
        <w:numPr>
          <w:ilvl w:val="0"/>
          <w:numId w:val="2"/>
        </w:numPr>
        <w:shd w:val="clear" w:color="auto" w:fill="FFFFFF"/>
        <w:spacing w:after="0" w:line="360" w:lineRule="auto"/>
        <w:jc w:val="left"/>
        <w:outlineLvl w:val="0"/>
        <w:rPr>
          <w:rFonts w:ascii="Verdana" w:hAnsi="Verdana"/>
          <w:color w:val="222222"/>
          <w:sz w:val="24"/>
          <w:szCs w:val="24"/>
          <w:shd w:val="clear" w:color="auto" w:fill="FFFFFF"/>
        </w:rPr>
      </w:pPr>
      <w:r>
        <w:rPr>
          <w:rFonts w:ascii="Verdana" w:hAnsi="Verdana"/>
          <w:b/>
          <w:color w:val="222222"/>
          <w:sz w:val="24"/>
          <w:szCs w:val="24"/>
          <w:shd w:val="clear" w:color="auto" w:fill="FFFFFF"/>
        </w:rPr>
        <w:t>Dal sito</w:t>
      </w:r>
      <w:r>
        <w:rPr>
          <w:rFonts w:ascii="Verdana" w:hAnsi="Verdana"/>
          <w:color w:val="222222"/>
          <w:sz w:val="24"/>
          <w:szCs w:val="24"/>
          <w:shd w:val="clear" w:color="auto" w:fill="FFFFFF"/>
        </w:rPr>
        <w:t xml:space="preserve"> </w:t>
      </w:r>
      <w:hyperlink r:id="rId9" w:history="1">
        <w:r>
          <w:rPr>
            <w:rStyle w:val="Collegamentoipertestuale"/>
            <w:rFonts w:ascii="Verdana" w:eastAsia="Times New Roman" w:hAnsi="Verdana"/>
            <w:bCs/>
            <w:color w:val="0068AE"/>
            <w:kern w:val="36"/>
            <w:sz w:val="24"/>
            <w:szCs w:val="24"/>
          </w:rPr>
          <w:t>www.rivaluta.it</w:t>
        </w:r>
      </w:hyperlink>
      <w:r>
        <w:rPr>
          <w:rFonts w:ascii="Verdana" w:eastAsia="Times New Roman" w:hAnsi="Verdana"/>
          <w:b/>
          <w:bCs/>
          <w:color w:val="0068AE"/>
          <w:kern w:val="36"/>
          <w:sz w:val="24"/>
          <w:szCs w:val="24"/>
        </w:rPr>
        <w:t>:</w:t>
      </w:r>
    </w:p>
    <w:p w:rsidR="000132AF" w:rsidRDefault="000132AF" w:rsidP="000132AF">
      <w:pPr>
        <w:shd w:val="clear" w:color="auto" w:fill="FFFFFF"/>
        <w:spacing w:after="0" w:line="360" w:lineRule="auto"/>
        <w:jc w:val="left"/>
        <w:outlineLvl w:val="0"/>
        <w:rPr>
          <w:rFonts w:ascii="Verdana" w:hAnsi="Verdana"/>
          <w:color w:val="222222"/>
          <w:sz w:val="24"/>
          <w:szCs w:val="24"/>
          <w:shd w:val="clear" w:color="auto" w:fill="FFFFFF"/>
        </w:rPr>
      </w:pPr>
    </w:p>
    <w:p w:rsidR="000132AF" w:rsidRDefault="000132AF" w:rsidP="000132AF">
      <w:pPr>
        <w:shd w:val="clear" w:color="auto" w:fill="FFFFFF"/>
        <w:spacing w:after="0" w:line="360" w:lineRule="auto"/>
        <w:jc w:val="left"/>
        <w:outlineLvl w:val="0"/>
        <w:rPr>
          <w:rFonts w:ascii="Arial" w:hAnsi="Arial" w:cs="Arial"/>
          <w:b/>
          <w:i/>
          <w:color w:val="222222"/>
          <w:sz w:val="24"/>
          <w:szCs w:val="24"/>
          <w:shd w:val="clear" w:color="auto" w:fill="FFFFFF"/>
        </w:rPr>
      </w:pPr>
      <w:r>
        <w:rPr>
          <w:rFonts w:ascii="Arial" w:hAnsi="Arial" w:cs="Arial"/>
          <w:b/>
          <w:i/>
          <w:color w:val="222222"/>
          <w:sz w:val="24"/>
          <w:szCs w:val="24"/>
          <w:shd w:val="clear" w:color="auto" w:fill="FFFFFF"/>
        </w:rPr>
        <w:t>L'abolizione dei ritocchi sui titoli pregressi e la prescrizione decennale.</w:t>
      </w:r>
    </w:p>
    <w:p w:rsidR="000132AF" w:rsidRDefault="000132AF" w:rsidP="000132AF">
      <w:pPr>
        <w:shd w:val="clear" w:color="auto" w:fill="FFFFFF"/>
        <w:spacing w:after="0" w:line="360" w:lineRule="auto"/>
        <w:jc w:val="left"/>
        <w:outlineLvl w:val="0"/>
        <w:rPr>
          <w:rFonts w:ascii="Arial" w:hAnsi="Arial" w:cs="Arial"/>
          <w:i/>
          <w:color w:val="222222"/>
          <w:sz w:val="24"/>
          <w:szCs w:val="24"/>
          <w:shd w:val="clear" w:color="auto" w:fill="FFFFFF"/>
        </w:rPr>
      </w:pPr>
      <w:r>
        <w:rPr>
          <w:rFonts w:ascii="Arial" w:hAnsi="Arial" w:cs="Arial"/>
          <w:i/>
          <w:color w:val="222222"/>
          <w:sz w:val="24"/>
          <w:szCs w:val="24"/>
          <w:shd w:val="clear" w:color="auto" w:fill="FFFFFF"/>
        </w:rPr>
        <w:t>Tra le ultime norme che hanno riguardato il buoni, la novità introdotta dal decreto del tesoro del 19/12/2000 che ha reso inapplicabile di diritto la norma che consentiva le variazioni di interesse sui buoni già emessi. Ciò comporta che il titolo, una volta emesso, mantiene le condizioni economiche della propria serie per tutta la vita senza alcuna possibilità di ritocco. Lo stesso decreto ha introdotto la prescrizione decennale per i titoli che quindi non possono più essere incassati dopo dieci anni dalla data di scadenza della serie.</w:t>
      </w:r>
    </w:p>
    <w:p w:rsidR="000132AF" w:rsidRDefault="000132AF" w:rsidP="000132AF">
      <w:pPr>
        <w:shd w:val="clear" w:color="auto" w:fill="FFFFFF"/>
        <w:spacing w:before="120" w:after="0" w:line="360" w:lineRule="auto"/>
        <w:jc w:val="left"/>
        <w:outlineLvl w:val="0"/>
        <w:rPr>
          <w:rFonts w:ascii="Arial" w:hAnsi="Arial" w:cs="Arial"/>
          <w:b/>
          <w:i/>
          <w:color w:val="222222"/>
          <w:sz w:val="24"/>
          <w:szCs w:val="24"/>
          <w:shd w:val="clear" w:color="auto" w:fill="FFFFFF"/>
        </w:rPr>
      </w:pPr>
      <w:r>
        <w:rPr>
          <w:rFonts w:ascii="Arial" w:hAnsi="Arial" w:cs="Arial"/>
          <w:b/>
          <w:i/>
          <w:color w:val="222222"/>
          <w:sz w:val="24"/>
          <w:szCs w:val="24"/>
          <w:shd w:val="clear" w:color="auto" w:fill="FFFFFF"/>
        </w:rPr>
        <w:t>Buoni in circolazione e loro rendimenti</w:t>
      </w:r>
      <w:bookmarkStart w:id="1" w:name="_GoBack"/>
      <w:bookmarkEnd w:id="1"/>
    </w:p>
    <w:p w:rsidR="000132AF" w:rsidRDefault="000132AF" w:rsidP="000132AF">
      <w:pPr>
        <w:shd w:val="clear" w:color="auto" w:fill="FFFFFF"/>
        <w:spacing w:before="120" w:after="0" w:line="360" w:lineRule="auto"/>
        <w:jc w:val="left"/>
        <w:outlineLvl w:val="0"/>
        <w:rPr>
          <w:rFonts w:ascii="Arial" w:hAnsi="Arial" w:cs="Arial"/>
          <w:i/>
          <w:color w:val="222222"/>
          <w:sz w:val="24"/>
          <w:szCs w:val="24"/>
          <w:shd w:val="clear" w:color="auto" w:fill="FFFFFF"/>
        </w:rPr>
      </w:pPr>
      <w:r>
        <w:rPr>
          <w:rFonts w:ascii="Arial" w:hAnsi="Arial" w:cs="Arial"/>
          <w:i/>
          <w:color w:val="222222"/>
          <w:sz w:val="24"/>
          <w:szCs w:val="24"/>
          <w:shd w:val="clear" w:color="auto" w:fill="FFFFFF"/>
        </w:rPr>
        <w:t>Serie e caratteristiche dei buoni fruttiferi ordinari ancora riscattabili che hanno subito la modifica retroattiva delle condizioni e l'introduzione della tassazione. Per le emissioni successive i tassi sono identici a quanto indicato sul retro e la tassazione sugli interessi è al 12,50%</w:t>
      </w:r>
    </w:p>
    <w:p w:rsidR="000132AF" w:rsidRDefault="000132AF" w:rsidP="000132AF">
      <w:pPr>
        <w:shd w:val="clear" w:color="auto" w:fill="FFFFFF"/>
        <w:spacing w:before="120" w:after="0" w:line="360" w:lineRule="auto"/>
        <w:jc w:val="left"/>
        <w:outlineLvl w:val="0"/>
        <w:rPr>
          <w:rFonts w:ascii="Arial" w:hAnsi="Arial" w:cs="Arial"/>
          <w:i/>
          <w:color w:val="222222"/>
          <w:sz w:val="24"/>
          <w:szCs w:val="24"/>
          <w:shd w:val="clear" w:color="auto" w:fill="FFFFFF"/>
        </w:rPr>
      </w:pPr>
    </w:p>
    <w:tbl>
      <w:tblPr>
        <w:tblW w:w="5000" w:type="pct"/>
        <w:tblCellSpacing w:w="18"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734"/>
        <w:gridCol w:w="2461"/>
        <w:gridCol w:w="1589"/>
        <w:gridCol w:w="5004"/>
      </w:tblGrid>
      <w:tr w:rsidR="000132AF" w:rsidTr="00017B28">
        <w:trPr>
          <w:tblCellSpacing w:w="18" w:type="dxa"/>
        </w:trPr>
        <w:tc>
          <w:tcPr>
            <w:tcW w:w="347" w:type="pct"/>
            <w:tcBorders>
              <w:top w:val="outset" w:sz="6" w:space="0" w:color="auto"/>
              <w:left w:val="outset" w:sz="6" w:space="0" w:color="auto"/>
              <w:bottom w:val="outset" w:sz="6" w:space="0" w:color="auto"/>
              <w:right w:val="outset" w:sz="6" w:space="0" w:color="auto"/>
            </w:tcBorders>
            <w:vAlign w:val="center"/>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serie</w:t>
            </w:r>
          </w:p>
        </w:tc>
        <w:tc>
          <w:tcPr>
            <w:tcW w:w="1239" w:type="pct"/>
            <w:tcBorders>
              <w:top w:val="outset" w:sz="6" w:space="0" w:color="auto"/>
              <w:left w:val="outset" w:sz="6" w:space="0" w:color="auto"/>
              <w:bottom w:val="outset" w:sz="6" w:space="0" w:color="auto"/>
              <w:right w:val="outset" w:sz="6" w:space="0" w:color="auto"/>
            </w:tcBorders>
            <w:vAlign w:val="center"/>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periodo di emissione</w:t>
            </w:r>
          </w:p>
        </w:tc>
        <w:tc>
          <w:tcPr>
            <w:tcW w:w="793" w:type="pct"/>
            <w:tcBorders>
              <w:top w:val="outset" w:sz="6" w:space="0" w:color="auto"/>
              <w:left w:val="outset" w:sz="6" w:space="0" w:color="auto"/>
              <w:bottom w:val="outset" w:sz="6" w:space="0" w:color="auto"/>
              <w:right w:val="outset" w:sz="6" w:space="0" w:color="auto"/>
            </w:tcBorders>
            <w:vAlign w:val="center"/>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tassazione</w:t>
            </w:r>
          </w:p>
        </w:tc>
        <w:tc>
          <w:tcPr>
            <w:tcW w:w="2529" w:type="pct"/>
            <w:tcBorders>
              <w:top w:val="outset" w:sz="6" w:space="0" w:color="auto"/>
              <w:left w:val="outset" w:sz="6" w:space="0" w:color="auto"/>
              <w:bottom w:val="outset" w:sz="6" w:space="0" w:color="auto"/>
              <w:right w:val="outset" w:sz="6" w:space="0" w:color="auto"/>
            </w:tcBorders>
            <w:vAlign w:val="center"/>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rendimento a scaglioni di cinque anni</w:t>
            </w:r>
          </w:p>
        </w:tc>
      </w:tr>
      <w:tr w:rsidR="000132AF" w:rsidTr="00017B28">
        <w:trPr>
          <w:trHeight w:val="168"/>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l</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20/04/70 - 27/09/74</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esente</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- 12%dal 1° luglio 1987</w:t>
            </w:r>
          </w:p>
        </w:tc>
      </w:tr>
      <w:tr w:rsidR="000132AF" w:rsidTr="00017B28">
        <w:trPr>
          <w:trHeight w:val="168"/>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m</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28/09/74 - 30/06/76</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esente</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- 12%dal 1° luglio 1987</w:t>
            </w:r>
          </w:p>
        </w:tc>
      </w:tr>
      <w:tr w:rsidR="000132AF" w:rsidTr="00017B28">
        <w:trPr>
          <w:trHeight w:val="168"/>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n</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01/07/76 - 31/08/81</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esente</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- 12%dal 1° luglio 1987</w:t>
            </w:r>
          </w:p>
        </w:tc>
      </w:tr>
      <w:tr w:rsidR="000132AF" w:rsidTr="00017B28">
        <w:trPr>
          <w:trHeight w:val="168"/>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o</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01/09/81 - 30/06/84</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esente</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- 12%dal 1° luglio 1987</w:t>
            </w:r>
          </w:p>
        </w:tc>
      </w:tr>
      <w:tr w:rsidR="000132AF" w:rsidTr="00017B28">
        <w:trPr>
          <w:trHeight w:val="168"/>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p</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01/07/84 - 30/06/86</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esente</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- 12%dal 1° luglio 1987</w:t>
            </w:r>
          </w:p>
        </w:tc>
      </w:tr>
      <w:tr w:rsidR="000132AF" w:rsidTr="00017B28">
        <w:trPr>
          <w:trHeight w:val="168"/>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q</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01/07/86 - 20/09/86</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esente</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w:t>
            </w:r>
          </w:p>
        </w:tc>
      </w:tr>
      <w:tr w:rsidR="000132AF" w:rsidTr="00017B28">
        <w:trPr>
          <w:trHeight w:val="156"/>
          <w:tblCellSpacing w:w="18" w:type="dxa"/>
        </w:trPr>
        <w:tc>
          <w:tcPr>
            <w:tcW w:w="347"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b/>
                <w:bCs/>
                <w:i/>
                <w:color w:val="000000"/>
                <w:sz w:val="24"/>
                <w:szCs w:val="24"/>
              </w:rPr>
              <w:t>q</w:t>
            </w:r>
          </w:p>
        </w:tc>
        <w:tc>
          <w:tcPr>
            <w:tcW w:w="123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21/09/86 - 31/08/87</w:t>
            </w:r>
          </w:p>
        </w:tc>
        <w:tc>
          <w:tcPr>
            <w:tcW w:w="793"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center"/>
              <w:rPr>
                <w:rFonts w:ascii="Arial" w:eastAsia="Times New Roman" w:hAnsi="Arial" w:cs="Arial"/>
                <w:i/>
                <w:color w:val="000000"/>
                <w:sz w:val="24"/>
                <w:szCs w:val="24"/>
              </w:rPr>
            </w:pPr>
            <w:r>
              <w:rPr>
                <w:rFonts w:ascii="Arial" w:eastAsia="Times New Roman" w:hAnsi="Arial" w:cs="Arial"/>
                <w:i/>
                <w:color w:val="000000"/>
                <w:sz w:val="24"/>
                <w:szCs w:val="24"/>
              </w:rPr>
              <w:t>6,25%</w:t>
            </w:r>
          </w:p>
        </w:tc>
        <w:tc>
          <w:tcPr>
            <w:tcW w:w="2529" w:type="pct"/>
            <w:tcBorders>
              <w:top w:val="outset" w:sz="6" w:space="0" w:color="auto"/>
              <w:left w:val="outset" w:sz="6" w:space="0" w:color="auto"/>
              <w:bottom w:val="outset" w:sz="6" w:space="0" w:color="auto"/>
              <w:right w:val="outset" w:sz="6" w:space="0" w:color="auto"/>
            </w:tcBorders>
            <w:hideMark/>
          </w:tcPr>
          <w:p w:rsidR="000132AF" w:rsidRDefault="000132AF" w:rsidP="00017B28">
            <w:pPr>
              <w:spacing w:before="100" w:beforeAutospacing="1" w:after="100" w:afterAutospacing="1" w:line="360" w:lineRule="auto"/>
              <w:jc w:val="right"/>
              <w:rPr>
                <w:rFonts w:ascii="Arial" w:eastAsia="Times New Roman" w:hAnsi="Arial" w:cs="Arial"/>
                <w:i/>
                <w:color w:val="000000"/>
                <w:sz w:val="24"/>
                <w:szCs w:val="24"/>
              </w:rPr>
            </w:pPr>
            <w:r>
              <w:rPr>
                <w:rFonts w:ascii="Arial" w:eastAsia="Times New Roman" w:hAnsi="Arial" w:cs="Arial"/>
                <w:i/>
                <w:color w:val="000000"/>
                <w:sz w:val="24"/>
                <w:szCs w:val="24"/>
              </w:rPr>
              <w:t>8% - 9% - 10, 50% - 12% - 12%</w:t>
            </w:r>
          </w:p>
        </w:tc>
      </w:tr>
    </w:tbl>
    <w:p w:rsidR="000132AF" w:rsidRDefault="000132AF" w:rsidP="000132AF">
      <w:pPr>
        <w:pStyle w:val="Titolo2"/>
        <w:spacing w:before="30" w:after="30" w:line="360" w:lineRule="auto"/>
        <w:ind w:left="30" w:right="30"/>
        <w:rPr>
          <w:rFonts w:ascii="Georgia" w:hAnsi="Georgia"/>
          <w:color w:val="000000"/>
          <w:sz w:val="24"/>
          <w:szCs w:val="24"/>
        </w:rPr>
      </w:pPr>
      <w:r>
        <w:rPr>
          <w:rFonts w:ascii="Verdana" w:eastAsia="Times New Roman" w:hAnsi="Verdana"/>
          <w:color w:val="000000"/>
          <w:sz w:val="24"/>
          <w:szCs w:val="24"/>
        </w:rPr>
        <w:t> </w:t>
      </w:r>
    </w:p>
    <w:p w:rsidR="000132AF" w:rsidRDefault="000132AF" w:rsidP="000132AF">
      <w:pPr>
        <w:shd w:val="clear" w:color="auto" w:fill="FFFFFF"/>
        <w:spacing w:after="0" w:line="360" w:lineRule="auto"/>
        <w:jc w:val="center"/>
        <w:outlineLvl w:val="0"/>
        <w:rPr>
          <w:rFonts w:ascii="Verdana" w:hAnsi="Verdana"/>
          <w:color w:val="222222"/>
          <w:sz w:val="24"/>
          <w:szCs w:val="24"/>
          <w:shd w:val="clear" w:color="auto" w:fill="FFFFFF"/>
        </w:rPr>
      </w:pPr>
      <w:r>
        <w:rPr>
          <w:rFonts w:ascii="Verdana" w:hAnsi="Verdana"/>
          <w:color w:val="222222"/>
          <w:sz w:val="24"/>
          <w:szCs w:val="24"/>
          <w:shd w:val="clear" w:color="auto" w:fill="FFFFFF"/>
        </w:rPr>
        <w:pict>
          <v:rect id="_x0000_i1027" style="width:.05pt;height:1.8pt" o:hralign="center" o:hrstd="t" o:hr="t" fillcolor="#a0a0a0" stroked="f"/>
        </w:pict>
      </w:r>
    </w:p>
    <w:p w:rsidR="000132AF" w:rsidRDefault="000132AF" w:rsidP="000132AF">
      <w:pPr>
        <w:shd w:val="clear" w:color="auto" w:fill="FFFFFF"/>
        <w:spacing w:after="0" w:line="360" w:lineRule="auto"/>
        <w:jc w:val="center"/>
        <w:outlineLvl w:val="0"/>
        <w:rPr>
          <w:rFonts w:ascii="Verdana" w:eastAsia="Times New Roman" w:hAnsi="Verdana"/>
          <w:b/>
          <w:bCs/>
          <w:color w:val="0068AE"/>
          <w:kern w:val="36"/>
          <w:sz w:val="24"/>
          <w:szCs w:val="24"/>
        </w:rPr>
      </w:pPr>
    </w:p>
    <w:p w:rsidR="000132AF" w:rsidRDefault="000132AF" w:rsidP="000132AF">
      <w:pPr>
        <w:numPr>
          <w:ilvl w:val="0"/>
          <w:numId w:val="2"/>
        </w:numPr>
        <w:shd w:val="clear" w:color="auto" w:fill="FFFFFF"/>
        <w:spacing w:after="0" w:line="360" w:lineRule="auto"/>
        <w:jc w:val="left"/>
        <w:outlineLvl w:val="0"/>
        <w:rPr>
          <w:rFonts w:ascii="Verdana" w:eastAsia="Times New Roman" w:hAnsi="Verdana"/>
          <w:b/>
          <w:bCs/>
          <w:color w:val="0068AE"/>
          <w:kern w:val="36"/>
          <w:sz w:val="24"/>
          <w:szCs w:val="24"/>
        </w:rPr>
      </w:pPr>
      <w:r>
        <w:rPr>
          <w:rFonts w:ascii="Verdana" w:eastAsia="Times New Roman" w:hAnsi="Verdana"/>
          <w:b/>
          <w:bCs/>
          <w:kern w:val="36"/>
          <w:sz w:val="24"/>
          <w:szCs w:val="24"/>
        </w:rPr>
        <w:t xml:space="preserve">Dal sito di </w:t>
      </w:r>
      <w:hyperlink r:id="rId10" w:history="1">
        <w:r>
          <w:rPr>
            <w:rStyle w:val="Collegamentoipertestuale"/>
            <w:rFonts w:ascii="Verdana" w:hAnsi="Verdana"/>
            <w:color w:val="0068AE"/>
            <w:sz w:val="24"/>
            <w:szCs w:val="24"/>
          </w:rPr>
          <w:t>Poste</w:t>
        </w:r>
      </w:hyperlink>
    </w:p>
    <w:p w:rsidR="000132AF" w:rsidRDefault="000132AF" w:rsidP="000132AF">
      <w:pPr>
        <w:shd w:val="clear" w:color="auto" w:fill="FFFFFF"/>
        <w:spacing w:after="0" w:line="360" w:lineRule="auto"/>
        <w:jc w:val="center"/>
        <w:outlineLvl w:val="0"/>
        <w:rPr>
          <w:rFonts w:ascii="Verdana" w:eastAsia="Times New Roman" w:hAnsi="Verdana"/>
          <w:b/>
          <w:bCs/>
          <w:color w:val="0068AE"/>
          <w:kern w:val="36"/>
          <w:sz w:val="24"/>
          <w:szCs w:val="24"/>
        </w:rPr>
      </w:pPr>
    </w:p>
    <w:p w:rsidR="000132AF" w:rsidRDefault="000132AF" w:rsidP="000132AF">
      <w:pPr>
        <w:pStyle w:val="Titolo3"/>
        <w:spacing w:line="360" w:lineRule="auto"/>
        <w:rPr>
          <w:color w:val="17365D" w:themeColor="text2" w:themeShade="BF"/>
          <w:sz w:val="24"/>
          <w:szCs w:val="24"/>
        </w:rPr>
      </w:pPr>
      <w:bookmarkStart w:id="2" w:name="_Buoni_Fruttiferi_Postali"/>
      <w:bookmarkEnd w:id="2"/>
      <w:r>
        <w:t>Buoni Fruttiferi Postali "BFP Europa"</w:t>
      </w:r>
    </w:p>
    <w:p w:rsidR="000132AF" w:rsidRDefault="000132AF" w:rsidP="000132AF">
      <w:pPr>
        <w:shd w:val="clear" w:color="auto" w:fill="FFFFFF"/>
        <w:spacing w:after="0" w:line="360" w:lineRule="auto"/>
        <w:jc w:val="center"/>
        <w:rPr>
          <w:rFonts w:ascii="Verdana" w:eastAsia="Times New Roman" w:hAnsi="Verdana"/>
          <w:color w:val="444444"/>
          <w:sz w:val="24"/>
          <w:szCs w:val="24"/>
        </w:rPr>
      </w:pPr>
      <w:r>
        <w:rPr>
          <w:rFonts w:ascii="Verdana" w:eastAsia="Times New Roman" w:hAnsi="Verdana"/>
          <w:i/>
          <w:iCs/>
          <w:color w:val="444444"/>
          <w:sz w:val="24"/>
          <w:szCs w:val="24"/>
        </w:rPr>
        <w:t>Un investimento che ti premia nel corso degli anni</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I </w:t>
      </w:r>
      <w:r>
        <w:rPr>
          <w:rFonts w:ascii="Verdana" w:eastAsia="Times New Roman" w:hAnsi="Verdana"/>
          <w:b/>
          <w:bCs/>
          <w:color w:val="444444"/>
          <w:sz w:val="24"/>
          <w:szCs w:val="24"/>
        </w:rPr>
        <w:t>Buoni Fruttiferi Postali "</w:t>
      </w:r>
      <w:proofErr w:type="spellStart"/>
      <w:r>
        <w:rPr>
          <w:rFonts w:ascii="Verdana" w:eastAsia="Times New Roman" w:hAnsi="Verdana"/>
          <w:b/>
          <w:bCs/>
          <w:color w:val="444444"/>
          <w:sz w:val="24"/>
          <w:szCs w:val="24"/>
        </w:rPr>
        <w:t>BFPEuropa</w:t>
      </w:r>
      <w:proofErr w:type="spellEnd"/>
      <w:r>
        <w:rPr>
          <w:rFonts w:ascii="Verdana" w:eastAsia="Times New Roman" w:hAnsi="Verdana"/>
          <w:b/>
          <w:bCs/>
          <w:color w:val="444444"/>
          <w:sz w:val="24"/>
          <w:szCs w:val="24"/>
        </w:rPr>
        <w:t>"</w:t>
      </w:r>
      <w:r>
        <w:rPr>
          <w:rFonts w:ascii="Verdana" w:eastAsia="Times New Roman" w:hAnsi="Verdana"/>
          <w:color w:val="444444"/>
          <w:sz w:val="24"/>
          <w:szCs w:val="24"/>
        </w:rPr>
        <w:t xml:space="preserve"> offrono un'opportunità di crescita del capitale, senza rinunciare alle caratteristiche tipiche dei Buoni. I Buoni </w:t>
      </w:r>
      <w:proofErr w:type="spellStart"/>
      <w:r>
        <w:rPr>
          <w:rFonts w:ascii="Verdana" w:eastAsia="Times New Roman" w:hAnsi="Verdana"/>
          <w:color w:val="444444"/>
          <w:sz w:val="24"/>
          <w:szCs w:val="24"/>
        </w:rPr>
        <w:t>BFPEuropa</w:t>
      </w:r>
      <w:proofErr w:type="spellEnd"/>
      <w:r>
        <w:rPr>
          <w:rFonts w:ascii="Verdana" w:eastAsia="Times New Roman" w:hAnsi="Verdana"/>
          <w:color w:val="444444"/>
          <w:sz w:val="24"/>
          <w:szCs w:val="24"/>
        </w:rPr>
        <w:t xml:space="preserve"> hanno una durata massima di quattro anni.</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xml:space="preserve">Alla scadenza dell'investimento i Buoni </w:t>
      </w:r>
      <w:proofErr w:type="spellStart"/>
      <w:r>
        <w:rPr>
          <w:rFonts w:ascii="Verdana" w:eastAsia="Times New Roman" w:hAnsi="Verdana"/>
          <w:color w:val="444444"/>
          <w:sz w:val="24"/>
          <w:szCs w:val="24"/>
        </w:rPr>
        <w:t>BFPEuropa</w:t>
      </w:r>
      <w:proofErr w:type="spellEnd"/>
      <w:r>
        <w:rPr>
          <w:rFonts w:ascii="Verdana" w:eastAsia="Times New Roman" w:hAnsi="Verdana"/>
          <w:color w:val="444444"/>
          <w:sz w:val="24"/>
          <w:szCs w:val="24"/>
        </w:rPr>
        <w:t xml:space="preserve"> assicurano il rimborso del capitale e offrono:</w:t>
      </w:r>
    </w:p>
    <w:p w:rsidR="000132AF" w:rsidRDefault="000132AF" w:rsidP="000132AF">
      <w:pPr>
        <w:numPr>
          <w:ilvl w:val="0"/>
          <w:numId w:val="3"/>
        </w:numPr>
        <w:shd w:val="clear" w:color="auto" w:fill="FFFFFF"/>
        <w:spacing w:after="0" w:line="360" w:lineRule="auto"/>
        <w:ind w:left="375" w:right="375"/>
        <w:jc w:val="left"/>
        <w:rPr>
          <w:rFonts w:ascii="Verdana" w:eastAsia="Times New Roman" w:hAnsi="Verdana"/>
          <w:color w:val="444444"/>
          <w:sz w:val="24"/>
          <w:szCs w:val="24"/>
        </w:rPr>
      </w:pPr>
      <w:r>
        <w:rPr>
          <w:rFonts w:ascii="Verdana" w:eastAsia="Times New Roman" w:hAnsi="Verdana"/>
          <w:color w:val="444444"/>
          <w:sz w:val="24"/>
          <w:szCs w:val="24"/>
        </w:rPr>
        <w:t>un rendimento fisso garantito;</w:t>
      </w:r>
    </w:p>
    <w:p w:rsidR="000132AF" w:rsidRDefault="000132AF" w:rsidP="000132AF">
      <w:pPr>
        <w:numPr>
          <w:ilvl w:val="0"/>
          <w:numId w:val="3"/>
        </w:numPr>
        <w:shd w:val="clear" w:color="auto" w:fill="FFFFFF"/>
        <w:spacing w:after="0" w:line="360" w:lineRule="auto"/>
        <w:ind w:left="375" w:right="375"/>
        <w:jc w:val="left"/>
        <w:rPr>
          <w:rFonts w:ascii="Verdana" w:eastAsia="Times New Roman" w:hAnsi="Verdana"/>
          <w:color w:val="444444"/>
          <w:sz w:val="24"/>
          <w:szCs w:val="24"/>
        </w:rPr>
      </w:pPr>
      <w:r>
        <w:rPr>
          <w:rFonts w:ascii="Verdana" w:eastAsia="Times New Roman" w:hAnsi="Verdana"/>
          <w:color w:val="444444"/>
          <w:sz w:val="24"/>
          <w:szCs w:val="24"/>
        </w:rPr>
        <w:t>la possibilità di conseguire "premi" annuali maturati al compimento del 1°, 2°, 3° e 4°anno.</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I "premi" maturano nel caso in cui l'indice azionario EURO STOXX 50 si apprezzi, nei periodi di riferimento, in misura </w:t>
      </w:r>
      <w:r>
        <w:rPr>
          <w:rFonts w:ascii="Verdana" w:eastAsia="Times New Roman" w:hAnsi="Verdana"/>
          <w:b/>
          <w:bCs/>
          <w:color w:val="444444"/>
          <w:sz w:val="24"/>
          <w:szCs w:val="24"/>
        </w:rPr>
        <w:t>pari o superiore al 7% nel primo anno e al 10% negli anni successivi</w:t>
      </w:r>
      <w:r>
        <w:rPr>
          <w:rFonts w:ascii="Verdana" w:eastAsia="Times New Roman" w:hAnsi="Verdana"/>
          <w:color w:val="444444"/>
          <w:sz w:val="24"/>
          <w:szCs w:val="24"/>
        </w:rPr>
        <w:t>. In caso di apprezzamento inferiore dell'indice, non maturerà il "premio" relativo a quel periodo e l’investitore manterrà comunque intatta la possibilità di conseguire i premi successivi.</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xml:space="preserve">I </w:t>
      </w:r>
      <w:proofErr w:type="spellStart"/>
      <w:r>
        <w:rPr>
          <w:rFonts w:ascii="Verdana" w:eastAsia="Times New Roman" w:hAnsi="Verdana"/>
          <w:color w:val="444444"/>
          <w:sz w:val="24"/>
          <w:szCs w:val="24"/>
        </w:rPr>
        <w:t>BFPEuropa</w:t>
      </w:r>
      <w:proofErr w:type="spellEnd"/>
      <w:r>
        <w:rPr>
          <w:rFonts w:ascii="Verdana" w:eastAsia="Times New Roman" w:hAnsi="Verdana"/>
          <w:color w:val="444444"/>
          <w:sz w:val="24"/>
          <w:szCs w:val="24"/>
        </w:rPr>
        <w:t xml:space="preserve"> sono rimborsabili anche prima della scadenza naturale dei 4 anni: anche in questo caso il sottoscrittore riceverà l'intero </w:t>
      </w:r>
      <w:r>
        <w:rPr>
          <w:rFonts w:ascii="Verdana" w:eastAsia="Times New Roman" w:hAnsi="Verdana"/>
          <w:b/>
          <w:bCs/>
          <w:color w:val="444444"/>
          <w:sz w:val="24"/>
          <w:szCs w:val="24"/>
        </w:rPr>
        <w:t>capitale investito</w:t>
      </w:r>
      <w:r>
        <w:rPr>
          <w:rFonts w:ascii="Verdana" w:eastAsia="Times New Roman" w:hAnsi="Verdana"/>
          <w:color w:val="444444"/>
          <w:sz w:val="24"/>
          <w:szCs w:val="24"/>
        </w:rPr>
        <w:t> nonché, trascorsi 12 mesi dalla sottoscrizione, gli interessi fissi e i "premi" annuali maturati fino a quel momento.</w:t>
      </w:r>
    </w:p>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w:t>
      </w:r>
    </w:p>
    <w:p w:rsidR="000132AF" w:rsidRDefault="000132AF" w:rsidP="000132AF">
      <w:pPr>
        <w:shd w:val="clear" w:color="auto" w:fill="FFFFFF"/>
        <w:spacing w:after="75" w:line="360" w:lineRule="auto"/>
        <w:jc w:val="left"/>
        <w:rPr>
          <w:rFonts w:ascii="Verdana" w:eastAsia="Times New Roman" w:hAnsi="Verdana"/>
          <w:color w:val="444444"/>
          <w:sz w:val="24"/>
          <w:szCs w:val="24"/>
        </w:rPr>
      </w:pPr>
      <w:r>
        <w:rPr>
          <w:rFonts w:ascii="Verdana" w:eastAsia="Times New Roman" w:hAnsi="Verdana"/>
          <w:b/>
          <w:bCs/>
          <w:color w:val="444444"/>
          <w:sz w:val="24"/>
          <w:szCs w:val="24"/>
        </w:rPr>
        <w:t>Serie P65 (condizioni in vigore dal 10 marzo 2014)</w:t>
      </w:r>
    </w:p>
    <w:p w:rsidR="000132AF" w:rsidRDefault="000132AF" w:rsidP="000132AF">
      <w:pPr>
        <w:shd w:val="clear" w:color="auto" w:fill="FFFFFF"/>
        <w:spacing w:line="360" w:lineRule="auto"/>
        <w:jc w:val="left"/>
        <w:outlineLvl w:val="2"/>
        <w:rPr>
          <w:rFonts w:ascii="Verdana" w:eastAsia="Times New Roman" w:hAnsi="Verdana"/>
          <w:b/>
          <w:bCs/>
          <w:color w:val="444444"/>
          <w:sz w:val="24"/>
          <w:szCs w:val="24"/>
        </w:rPr>
      </w:pPr>
      <w:r>
        <w:rPr>
          <w:rFonts w:ascii="Verdana" w:eastAsia="Times New Roman" w:hAnsi="Verdana"/>
          <w:b/>
          <w:bCs/>
          <w:color w:val="444444"/>
          <w:sz w:val="24"/>
          <w:szCs w:val="24"/>
        </w:rPr>
        <w:t>Rendimento fisso garantito</w:t>
      </w:r>
    </w:p>
    <w:tbl>
      <w:tblPr>
        <w:tblW w:w="7050" w:type="dxa"/>
        <w:tblCellMar>
          <w:left w:w="0" w:type="dxa"/>
          <w:right w:w="0" w:type="dxa"/>
        </w:tblCellMar>
        <w:tblLook w:val="04A0" w:firstRow="1" w:lastRow="0" w:firstColumn="1" w:lastColumn="0" w:noHBand="0" w:noVBand="1"/>
      </w:tblPr>
      <w:tblGrid>
        <w:gridCol w:w="1756"/>
        <w:gridCol w:w="2409"/>
        <w:gridCol w:w="2885"/>
      </w:tblGrid>
      <w:tr w:rsidR="000132AF" w:rsidTr="00017B28">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Periodo di possesso</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Tasso nominale annuo lordo</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Rendimento effettivo annuo lordo</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1°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2°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3°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4°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0,50%</w:t>
            </w:r>
          </w:p>
        </w:tc>
      </w:tr>
    </w:tbl>
    <w:p w:rsidR="000132AF" w:rsidRDefault="000132AF" w:rsidP="000132AF">
      <w:pPr>
        <w:shd w:val="clear" w:color="auto" w:fill="FFFFFF"/>
        <w:spacing w:line="360" w:lineRule="auto"/>
        <w:jc w:val="left"/>
        <w:outlineLvl w:val="2"/>
        <w:rPr>
          <w:rFonts w:ascii="Verdana" w:eastAsia="Times New Roman" w:hAnsi="Verdana"/>
          <w:b/>
          <w:bCs/>
          <w:color w:val="444444"/>
          <w:sz w:val="24"/>
          <w:szCs w:val="24"/>
        </w:rPr>
      </w:pPr>
      <w:r>
        <w:rPr>
          <w:rFonts w:ascii="Verdana" w:eastAsia="Times New Roman" w:hAnsi="Verdana"/>
          <w:b/>
          <w:bCs/>
          <w:color w:val="444444"/>
          <w:sz w:val="24"/>
          <w:szCs w:val="24"/>
        </w:rPr>
        <w:t>Premi aggiuntivi</w:t>
      </w:r>
    </w:p>
    <w:tbl>
      <w:tblPr>
        <w:tblW w:w="7050" w:type="dxa"/>
        <w:tblCellMar>
          <w:left w:w="0" w:type="dxa"/>
          <w:right w:w="0" w:type="dxa"/>
        </w:tblCellMar>
        <w:tblLook w:val="04A0" w:firstRow="1" w:lastRow="0" w:firstColumn="1" w:lastColumn="0" w:noHBand="0" w:noVBand="1"/>
      </w:tblPr>
      <w:tblGrid>
        <w:gridCol w:w="1977"/>
        <w:gridCol w:w="1875"/>
        <w:gridCol w:w="3198"/>
      </w:tblGrid>
      <w:tr w:rsidR="000132AF" w:rsidTr="00017B28">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Periodo di riferimento</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Incremento dell'indice</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Ammontare del Premio (calcolato sul valore nominale)*</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Dall'emissione al 1º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uguale o maggiore al 7%</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3,00%</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Dal 1º al 2º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uguale o maggiore al 10%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3,12%</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Dal 2º al 3º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uguale o maggiore al 10%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3,25%</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Dal 3º al 4º anno</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uguale o maggiore al 10%</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3,38%</w:t>
            </w:r>
          </w:p>
        </w:tc>
      </w:tr>
    </w:tbl>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I premi maturati vengono capitalizzati, unitamente agli interessi fissi, sulla base dei tassi annui nominali lordi riportati nella tabella.</w:t>
      </w:r>
    </w:p>
    <w:p w:rsidR="000132AF" w:rsidRDefault="000132AF" w:rsidP="000132AF">
      <w:pPr>
        <w:shd w:val="clear" w:color="auto" w:fill="FFFFFF"/>
        <w:spacing w:line="360" w:lineRule="auto"/>
        <w:jc w:val="left"/>
        <w:outlineLvl w:val="2"/>
        <w:rPr>
          <w:rFonts w:ascii="Verdana" w:eastAsia="Times New Roman" w:hAnsi="Verdana"/>
          <w:b/>
          <w:bCs/>
          <w:color w:val="444444"/>
          <w:sz w:val="24"/>
          <w:szCs w:val="24"/>
        </w:rPr>
      </w:pPr>
    </w:p>
    <w:p w:rsidR="000132AF" w:rsidRDefault="000132AF" w:rsidP="000132AF">
      <w:pPr>
        <w:shd w:val="clear" w:color="auto" w:fill="FFFFFF"/>
        <w:spacing w:line="360" w:lineRule="auto"/>
        <w:jc w:val="left"/>
        <w:outlineLvl w:val="2"/>
        <w:rPr>
          <w:rFonts w:ascii="Verdana" w:eastAsia="Times New Roman" w:hAnsi="Verdana"/>
          <w:b/>
          <w:bCs/>
          <w:color w:val="444444"/>
          <w:sz w:val="24"/>
          <w:szCs w:val="24"/>
        </w:rPr>
      </w:pPr>
      <w:r>
        <w:rPr>
          <w:rFonts w:ascii="Verdana" w:eastAsia="Times New Roman" w:hAnsi="Verdana"/>
          <w:b/>
          <w:bCs/>
          <w:color w:val="444444"/>
          <w:sz w:val="24"/>
          <w:szCs w:val="24"/>
        </w:rPr>
        <w:t>Rendimenti lordi corrisposti alla scadenza dei 4 anni</w:t>
      </w:r>
    </w:p>
    <w:tbl>
      <w:tblPr>
        <w:tblW w:w="7050" w:type="dxa"/>
        <w:tblCellMar>
          <w:left w:w="0" w:type="dxa"/>
          <w:right w:w="0" w:type="dxa"/>
        </w:tblCellMar>
        <w:tblLook w:val="04A0" w:firstRow="1" w:lastRow="0" w:firstColumn="1" w:lastColumn="0" w:noHBand="0" w:noVBand="1"/>
      </w:tblPr>
      <w:tblGrid>
        <w:gridCol w:w="1854"/>
        <w:gridCol w:w="1619"/>
        <w:gridCol w:w="1763"/>
        <w:gridCol w:w="1814"/>
      </w:tblGrid>
      <w:tr w:rsidR="000132AF" w:rsidTr="00017B28">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Rendimento fisso garantito complessivo</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Premi massimi conseguibili</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Rendimento complessivo massimo</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Default="000132AF" w:rsidP="00017B28">
            <w:pPr>
              <w:spacing w:after="0" w:line="240" w:lineRule="auto"/>
              <w:jc w:val="center"/>
              <w:rPr>
                <w:rFonts w:ascii="Times New Roman" w:eastAsia="Times New Roman" w:hAnsi="Times New Roman"/>
                <w:color w:val="666666"/>
                <w:sz w:val="24"/>
                <w:szCs w:val="24"/>
              </w:rPr>
            </w:pPr>
            <w:r>
              <w:rPr>
                <w:rFonts w:ascii="Times New Roman" w:eastAsia="Times New Roman" w:hAnsi="Times New Roman"/>
                <w:b/>
                <w:bCs/>
                <w:color w:val="666666"/>
                <w:sz w:val="24"/>
                <w:szCs w:val="24"/>
              </w:rPr>
              <w:t>Rendimento effettivo annuo massimo</w:t>
            </w:r>
          </w:p>
        </w:tc>
      </w:tr>
      <w:tr w:rsidR="000132AF" w:rsidTr="00017B28">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2,02%</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12,84%</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14,86%</w:t>
            </w:r>
          </w:p>
        </w:tc>
        <w:tc>
          <w:tcPr>
            <w:tcW w:w="0" w:type="auto"/>
            <w:tcBorders>
              <w:top w:val="single" w:sz="6" w:space="0" w:color="CCCCCC"/>
              <w:left w:val="single" w:sz="6" w:space="0" w:color="CCCCCC"/>
              <w:bottom w:val="single" w:sz="2" w:space="0" w:color="CCCCCC"/>
              <w:right w:val="single" w:sz="2" w:space="0" w:color="CCCCCC"/>
            </w:tcBorders>
            <w:tcMar>
              <w:top w:w="75" w:type="dxa"/>
              <w:left w:w="75" w:type="dxa"/>
              <w:bottom w:w="75" w:type="dxa"/>
              <w:right w:w="75" w:type="dxa"/>
            </w:tcMar>
            <w:hideMark/>
          </w:tcPr>
          <w:p w:rsidR="000132AF" w:rsidRDefault="000132AF" w:rsidP="00017B28">
            <w:pPr>
              <w:spacing w:after="0" w:line="240" w:lineRule="auto"/>
              <w:jc w:val="left"/>
              <w:rPr>
                <w:rFonts w:ascii="Times New Roman" w:eastAsia="Times New Roman" w:hAnsi="Times New Roman"/>
                <w:color w:val="666666"/>
                <w:sz w:val="24"/>
                <w:szCs w:val="24"/>
              </w:rPr>
            </w:pPr>
            <w:r>
              <w:rPr>
                <w:rFonts w:ascii="Times New Roman" w:eastAsia="Times New Roman" w:hAnsi="Times New Roman"/>
                <w:color w:val="666666"/>
                <w:sz w:val="24"/>
                <w:szCs w:val="24"/>
              </w:rPr>
              <w:t>3,52%</w:t>
            </w:r>
          </w:p>
        </w:tc>
      </w:tr>
    </w:tbl>
    <w:p w:rsidR="000132AF" w:rsidRDefault="000132AF" w:rsidP="000132AF">
      <w:pPr>
        <w:shd w:val="clear" w:color="auto" w:fill="FFFFFF"/>
        <w:spacing w:after="0" w:line="360" w:lineRule="auto"/>
        <w:jc w:val="left"/>
        <w:rPr>
          <w:rFonts w:ascii="Verdana" w:eastAsia="Times New Roman" w:hAnsi="Verdana"/>
          <w:color w:val="444444"/>
          <w:sz w:val="24"/>
          <w:szCs w:val="24"/>
        </w:rPr>
      </w:pPr>
      <w:r>
        <w:rPr>
          <w:rFonts w:ascii="Verdana" w:eastAsia="Times New Roman" w:hAnsi="Verdana"/>
          <w:color w:val="444444"/>
          <w:sz w:val="24"/>
          <w:szCs w:val="24"/>
        </w:rPr>
        <w:t> </w:t>
      </w:r>
    </w:p>
    <w:p w:rsidR="000132AF" w:rsidRDefault="000132AF" w:rsidP="000132AF">
      <w:pPr>
        <w:spacing w:after="0" w:line="360" w:lineRule="auto"/>
        <w:jc w:val="center"/>
        <w:outlineLvl w:val="0"/>
        <w:rPr>
          <w:rFonts w:ascii="Verdana" w:hAnsi="Verdana"/>
          <w:color w:val="222222"/>
          <w:sz w:val="24"/>
          <w:szCs w:val="24"/>
          <w:shd w:val="clear" w:color="auto" w:fill="FFFFFF"/>
        </w:rPr>
      </w:pPr>
      <w:r>
        <w:rPr>
          <w:rFonts w:ascii="Verdana" w:hAnsi="Verdana"/>
          <w:color w:val="222222"/>
          <w:sz w:val="24"/>
          <w:szCs w:val="24"/>
          <w:shd w:val="clear" w:color="auto" w:fill="FFFFFF"/>
        </w:rPr>
        <w:pict>
          <v:rect id="_x0000_i1028" style="width:.05pt;height:1.8pt" o:hralign="center" o:hrstd="t" o:hr="t" fillcolor="#a0a0a0" stroked="f"/>
        </w:pict>
      </w:r>
    </w:p>
    <w:p w:rsidR="000132AF" w:rsidRDefault="000132AF" w:rsidP="000132AF">
      <w:pPr>
        <w:spacing w:after="0" w:line="360" w:lineRule="auto"/>
        <w:jc w:val="left"/>
        <w:outlineLvl w:val="0"/>
        <w:rPr>
          <w:rFonts w:ascii="Times New Roman" w:eastAsia="Times New Roman" w:hAnsi="Times New Roman"/>
          <w:b/>
          <w:bCs/>
          <w:color w:val="0068AE"/>
          <w:kern w:val="36"/>
          <w:sz w:val="24"/>
          <w:szCs w:val="24"/>
        </w:rPr>
      </w:pPr>
    </w:p>
    <w:p w:rsidR="000132AF" w:rsidRDefault="000132AF" w:rsidP="000132AF">
      <w:pPr>
        <w:pStyle w:val="Titolo3"/>
        <w:spacing w:line="360" w:lineRule="auto"/>
        <w:rPr>
          <w:color w:val="17365D" w:themeColor="text2" w:themeShade="BF"/>
          <w:sz w:val="24"/>
          <w:szCs w:val="24"/>
        </w:rPr>
      </w:pPr>
      <w:bookmarkStart w:id="3" w:name="_Buoni_Fruttiferi_Postali_1"/>
      <w:bookmarkEnd w:id="3"/>
      <w:r>
        <w:t xml:space="preserve">Buoni Fruttiferi Postali "BFP </w:t>
      </w:r>
      <w:proofErr w:type="spellStart"/>
      <w:r>
        <w:t>Renditalia</w:t>
      </w:r>
      <w:proofErr w:type="spellEnd"/>
      <w:r>
        <w:t>"</w:t>
      </w:r>
    </w:p>
    <w:p w:rsidR="000132AF" w:rsidRPr="005D267F" w:rsidRDefault="000132AF" w:rsidP="000132AF">
      <w:pPr>
        <w:shd w:val="clear" w:color="auto" w:fill="FFFFFF"/>
        <w:spacing w:after="0" w:line="360" w:lineRule="auto"/>
        <w:jc w:val="center"/>
        <w:rPr>
          <w:rFonts w:ascii="Verdana" w:eastAsia="Times New Roman" w:hAnsi="Verdana"/>
          <w:i/>
          <w:iCs/>
          <w:color w:val="444444"/>
          <w:sz w:val="24"/>
          <w:szCs w:val="24"/>
        </w:rPr>
      </w:pPr>
      <w:r w:rsidRPr="005D267F">
        <w:rPr>
          <w:rFonts w:ascii="Verdana" w:eastAsia="Times New Roman" w:hAnsi="Verdana"/>
          <w:i/>
          <w:iCs/>
          <w:color w:val="444444"/>
          <w:sz w:val="24"/>
          <w:szCs w:val="24"/>
        </w:rPr>
        <w:t>Un rendimento sicuro legato ai Titoli di Stato</w:t>
      </w:r>
    </w:p>
    <w:p w:rsidR="000132AF" w:rsidRDefault="000132AF" w:rsidP="000132AF">
      <w:pPr>
        <w:spacing w:after="0" w:line="360" w:lineRule="auto"/>
        <w:jc w:val="left"/>
        <w:rPr>
          <w:rFonts w:ascii="Times New Roman" w:eastAsia="Times New Roman" w:hAnsi="Times New Roman"/>
          <w:sz w:val="24"/>
          <w:szCs w:val="24"/>
        </w:rPr>
      </w:pPr>
      <w:r>
        <w:rPr>
          <w:rFonts w:ascii="Times New Roman" w:eastAsia="Times New Roman" w:hAnsi="Times New Roman"/>
          <w:sz w:val="24"/>
          <w:szCs w:val="24"/>
        </w:rPr>
        <w:t> </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b/>
          <w:bCs/>
          <w:sz w:val="24"/>
          <w:szCs w:val="24"/>
        </w:rPr>
        <w:t>Dal 20 maggio 2013</w:t>
      </w:r>
      <w:r w:rsidRPr="00C37822">
        <w:rPr>
          <w:rFonts w:ascii="Verdana" w:eastAsia="Times New Roman" w:hAnsi="Verdana"/>
          <w:sz w:val="24"/>
          <w:szCs w:val="24"/>
        </w:rPr>
        <w:t xml:space="preserve"> è possibile sottoscrivere il nuovo </w:t>
      </w:r>
      <w:proofErr w:type="spellStart"/>
      <w:r w:rsidRPr="00C37822">
        <w:rPr>
          <w:rFonts w:ascii="Verdana" w:eastAsia="Times New Roman" w:hAnsi="Verdana"/>
          <w:sz w:val="24"/>
          <w:szCs w:val="24"/>
        </w:rPr>
        <w:t>BFPRenditalia</w:t>
      </w:r>
      <w:proofErr w:type="spellEnd"/>
      <w:r w:rsidRPr="00C37822">
        <w:rPr>
          <w:rFonts w:ascii="Verdana" w:eastAsia="Times New Roman" w:hAnsi="Verdana"/>
          <w:sz w:val="24"/>
          <w:szCs w:val="24"/>
        </w:rPr>
        <w:t>, il Buono con una durata massima di </w:t>
      </w:r>
      <w:r w:rsidRPr="00C37822">
        <w:rPr>
          <w:rFonts w:ascii="Verdana" w:eastAsia="Times New Roman" w:hAnsi="Verdana"/>
          <w:b/>
          <w:bCs/>
          <w:sz w:val="24"/>
          <w:szCs w:val="24"/>
        </w:rPr>
        <w:t>3 anni</w:t>
      </w:r>
      <w:r w:rsidRPr="00C37822">
        <w:rPr>
          <w:rFonts w:ascii="Verdana" w:eastAsia="Times New Roman" w:hAnsi="Verdana"/>
          <w:sz w:val="24"/>
          <w:szCs w:val="24"/>
        </w:rPr>
        <w:t> e un rendimento variabile.</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 </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Infatti il </w:t>
      </w:r>
      <w:proofErr w:type="spellStart"/>
      <w:r w:rsidRPr="00C37822">
        <w:rPr>
          <w:rFonts w:ascii="Verdana" w:eastAsia="Times New Roman" w:hAnsi="Verdana"/>
          <w:b/>
          <w:bCs/>
          <w:sz w:val="24"/>
          <w:szCs w:val="24"/>
        </w:rPr>
        <w:t>BFPRenditalia</w:t>
      </w:r>
      <w:proofErr w:type="spellEnd"/>
      <w:r w:rsidRPr="00C37822">
        <w:rPr>
          <w:rFonts w:ascii="Verdana" w:eastAsia="Times New Roman" w:hAnsi="Verdana"/>
          <w:sz w:val="24"/>
          <w:szCs w:val="24"/>
        </w:rPr>
        <w:t> riconosce, in ogni semestre, un </w:t>
      </w:r>
      <w:r w:rsidRPr="00C37822">
        <w:rPr>
          <w:rFonts w:ascii="Verdana" w:eastAsia="Times New Roman" w:hAnsi="Verdana"/>
          <w:b/>
          <w:bCs/>
          <w:sz w:val="24"/>
          <w:szCs w:val="24"/>
        </w:rPr>
        <w:t>tasso nominale variabile pari al Rendimento Medio Ponderato del Buono Ordinario del Tesoro (BOT) con scadenza 6 mesi</w:t>
      </w:r>
      <w:r w:rsidRPr="00C37822">
        <w:rPr>
          <w:rFonts w:ascii="Verdana" w:eastAsia="Times New Roman" w:hAnsi="Verdana"/>
          <w:sz w:val="24"/>
          <w:szCs w:val="24"/>
        </w:rPr>
        <w:t> risultante dall’asta del mese antecedente l’inizio del semestre di riferimento </w:t>
      </w:r>
      <w:r w:rsidRPr="00C37822">
        <w:rPr>
          <w:rFonts w:ascii="Verdana" w:eastAsia="Times New Roman" w:hAnsi="Verdana"/>
          <w:b/>
          <w:bCs/>
          <w:sz w:val="24"/>
          <w:szCs w:val="24"/>
        </w:rPr>
        <w:t>più una maggiorazione di rendimento</w:t>
      </w:r>
      <w:r w:rsidRPr="00C37822">
        <w:rPr>
          <w:rFonts w:ascii="Verdana" w:eastAsia="Times New Roman" w:hAnsi="Verdana"/>
          <w:sz w:val="24"/>
          <w:szCs w:val="24"/>
        </w:rPr>
        <w:t>(Spread).</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 </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Tale tipologia di BFP permette di beneficiare degli eventuali rialzi dei tassi d’interesse, senza rinunciare ai punti di forza tipici dei BFP.</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 </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 xml:space="preserve">Infatti, come tutti gli altri Buoni, il </w:t>
      </w:r>
      <w:proofErr w:type="spellStart"/>
      <w:r w:rsidRPr="00C37822">
        <w:rPr>
          <w:rFonts w:ascii="Verdana" w:eastAsia="Times New Roman" w:hAnsi="Verdana"/>
          <w:sz w:val="24"/>
          <w:szCs w:val="24"/>
        </w:rPr>
        <w:t>BFPRenditalia</w:t>
      </w:r>
      <w:proofErr w:type="spellEnd"/>
      <w:r w:rsidRPr="00C37822">
        <w:rPr>
          <w:rFonts w:ascii="Verdana" w:eastAsia="Times New Roman" w:hAnsi="Verdana"/>
          <w:sz w:val="24"/>
          <w:szCs w:val="24"/>
        </w:rPr>
        <w:t>:</w:t>
      </w:r>
    </w:p>
    <w:p w:rsidR="000132AF" w:rsidRPr="00C37822" w:rsidRDefault="000132AF" w:rsidP="000132AF">
      <w:pPr>
        <w:numPr>
          <w:ilvl w:val="0"/>
          <w:numId w:val="4"/>
        </w:numPr>
        <w:spacing w:after="0" w:line="360" w:lineRule="auto"/>
        <w:ind w:left="375" w:right="375"/>
        <w:jc w:val="left"/>
        <w:rPr>
          <w:rFonts w:ascii="Verdana" w:eastAsia="Times New Roman" w:hAnsi="Verdana"/>
          <w:sz w:val="24"/>
          <w:szCs w:val="24"/>
        </w:rPr>
      </w:pPr>
      <w:r w:rsidRPr="00C37822">
        <w:rPr>
          <w:rFonts w:ascii="Verdana" w:eastAsia="Times New Roman" w:hAnsi="Verdana"/>
          <w:sz w:val="24"/>
          <w:szCs w:val="24"/>
        </w:rPr>
        <w:t>è garantito dallo Stato italiano;</w:t>
      </w:r>
    </w:p>
    <w:p w:rsidR="000132AF" w:rsidRPr="00C37822" w:rsidRDefault="000132AF" w:rsidP="000132AF">
      <w:pPr>
        <w:numPr>
          <w:ilvl w:val="0"/>
          <w:numId w:val="4"/>
        </w:numPr>
        <w:spacing w:after="0" w:line="360" w:lineRule="auto"/>
        <w:ind w:left="375" w:right="375"/>
        <w:jc w:val="left"/>
        <w:rPr>
          <w:rFonts w:ascii="Verdana" w:eastAsia="Times New Roman" w:hAnsi="Verdana"/>
          <w:sz w:val="24"/>
          <w:szCs w:val="24"/>
        </w:rPr>
      </w:pPr>
      <w:r w:rsidRPr="00C37822">
        <w:rPr>
          <w:rFonts w:ascii="Verdana" w:eastAsia="Times New Roman" w:hAnsi="Verdana"/>
          <w:sz w:val="24"/>
          <w:szCs w:val="24"/>
        </w:rPr>
        <w:t>può essere rimborsato anticipatamente in qualsiasi momento con diritto alla restituzione del capitale investito;</w:t>
      </w:r>
    </w:p>
    <w:p w:rsidR="000132AF" w:rsidRPr="00C37822" w:rsidRDefault="000132AF" w:rsidP="000132AF">
      <w:pPr>
        <w:numPr>
          <w:ilvl w:val="0"/>
          <w:numId w:val="4"/>
        </w:numPr>
        <w:spacing w:after="0" w:line="360" w:lineRule="auto"/>
        <w:ind w:left="375" w:right="375"/>
        <w:jc w:val="left"/>
        <w:rPr>
          <w:rFonts w:ascii="Verdana" w:eastAsia="Times New Roman" w:hAnsi="Verdana"/>
          <w:sz w:val="24"/>
          <w:szCs w:val="24"/>
        </w:rPr>
      </w:pPr>
      <w:r w:rsidRPr="00C37822">
        <w:rPr>
          <w:rFonts w:ascii="Verdana" w:eastAsia="Times New Roman" w:hAnsi="Verdana"/>
          <w:sz w:val="24"/>
          <w:szCs w:val="24"/>
        </w:rPr>
        <w:t>non prevede alcun costo a carico del risparmiatore.</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 </w:t>
      </w: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Possono essere rimborsati anticipatamente in qualsiasi momento, con diritto alla restituzione del capitale investito e, dopo dodici mesi, al riconoscimento degli interessi maturati.</w:t>
      </w:r>
    </w:p>
    <w:p w:rsidR="000132AF" w:rsidRPr="00C37822" w:rsidRDefault="000132AF" w:rsidP="000132AF">
      <w:pPr>
        <w:spacing w:after="0" w:line="360" w:lineRule="auto"/>
        <w:jc w:val="left"/>
        <w:rPr>
          <w:rFonts w:ascii="Verdana" w:eastAsia="Times New Roman" w:hAnsi="Verdana"/>
          <w:sz w:val="24"/>
          <w:szCs w:val="24"/>
        </w:rPr>
      </w:pPr>
    </w:p>
    <w:p w:rsidR="000132AF" w:rsidRPr="00C37822" w:rsidRDefault="000132AF" w:rsidP="000132AF">
      <w:pPr>
        <w:spacing w:after="0" w:line="360" w:lineRule="auto"/>
        <w:jc w:val="left"/>
        <w:rPr>
          <w:rFonts w:ascii="Verdana" w:eastAsia="Times New Roman" w:hAnsi="Verdana"/>
          <w:sz w:val="24"/>
          <w:szCs w:val="24"/>
        </w:rPr>
      </w:pPr>
      <w:r w:rsidRPr="00C37822">
        <w:rPr>
          <w:rFonts w:ascii="Verdana" w:eastAsia="Times New Roman" w:hAnsi="Verdana"/>
          <w:sz w:val="24"/>
          <w:szCs w:val="24"/>
        </w:rPr>
        <w:t> </w:t>
      </w:r>
    </w:p>
    <w:p w:rsidR="000132AF" w:rsidRPr="00C37822" w:rsidRDefault="000132AF" w:rsidP="000132AF">
      <w:pPr>
        <w:spacing w:after="75" w:line="360" w:lineRule="auto"/>
        <w:jc w:val="left"/>
        <w:rPr>
          <w:rFonts w:ascii="Verdana" w:eastAsia="Times New Roman" w:hAnsi="Verdana"/>
          <w:sz w:val="24"/>
          <w:szCs w:val="24"/>
        </w:rPr>
      </w:pPr>
      <w:r w:rsidRPr="00C37822">
        <w:rPr>
          <w:rFonts w:ascii="Verdana" w:eastAsia="Times New Roman" w:hAnsi="Verdana"/>
          <w:b/>
          <w:bCs/>
          <w:sz w:val="24"/>
          <w:szCs w:val="24"/>
        </w:rPr>
        <w:t xml:space="preserve">Il </w:t>
      </w:r>
      <w:proofErr w:type="spellStart"/>
      <w:r w:rsidRPr="00C37822">
        <w:rPr>
          <w:rFonts w:ascii="Verdana" w:eastAsia="Times New Roman" w:hAnsi="Verdana"/>
          <w:b/>
          <w:bCs/>
          <w:sz w:val="24"/>
          <w:szCs w:val="24"/>
        </w:rPr>
        <w:t>BFPRenditalia</w:t>
      </w:r>
      <w:proofErr w:type="spellEnd"/>
      <w:r w:rsidRPr="00C37822">
        <w:rPr>
          <w:rFonts w:ascii="Verdana" w:eastAsia="Times New Roman" w:hAnsi="Verdana"/>
          <w:b/>
          <w:bCs/>
          <w:sz w:val="24"/>
          <w:szCs w:val="24"/>
        </w:rPr>
        <w:t xml:space="preserve"> è l’investimento ideale per i risparmiatori affezionati ai Titoli di Stato, rappresentando di fatto un piano di risparmio sul </w:t>
      </w:r>
      <w:proofErr w:type="spellStart"/>
      <w:r w:rsidRPr="00C37822">
        <w:rPr>
          <w:rFonts w:ascii="Verdana" w:eastAsia="Times New Roman" w:hAnsi="Verdana"/>
          <w:b/>
          <w:bCs/>
          <w:sz w:val="24"/>
          <w:szCs w:val="24"/>
        </w:rPr>
        <w:t>BoT</w:t>
      </w:r>
      <w:proofErr w:type="spellEnd"/>
      <w:r w:rsidRPr="00C37822">
        <w:rPr>
          <w:rFonts w:ascii="Verdana" w:eastAsia="Times New Roman" w:hAnsi="Verdana"/>
          <w:b/>
          <w:bCs/>
          <w:sz w:val="24"/>
          <w:szCs w:val="24"/>
        </w:rPr>
        <w:t xml:space="preserve"> a costo zero.</w:t>
      </w:r>
    </w:p>
    <w:p w:rsidR="000132AF" w:rsidRPr="00C37822" w:rsidRDefault="000132AF" w:rsidP="000132AF">
      <w:pPr>
        <w:shd w:val="clear" w:color="auto" w:fill="FFFFFF"/>
        <w:spacing w:line="360" w:lineRule="auto"/>
        <w:jc w:val="left"/>
        <w:outlineLvl w:val="2"/>
        <w:rPr>
          <w:rFonts w:ascii="Verdana" w:eastAsia="Times New Roman" w:hAnsi="Verdana"/>
          <w:b/>
          <w:bCs/>
          <w:color w:val="444444"/>
          <w:sz w:val="24"/>
          <w:szCs w:val="24"/>
        </w:rPr>
      </w:pPr>
      <w:r w:rsidRPr="00C37822">
        <w:rPr>
          <w:rFonts w:ascii="Verdana" w:eastAsia="Times New Roman" w:hAnsi="Verdana"/>
          <w:b/>
          <w:bCs/>
          <w:color w:val="444444"/>
          <w:sz w:val="24"/>
          <w:szCs w:val="24"/>
        </w:rPr>
        <w:t>Serie R12 (condizioni in vigore dal 10 marzo 2014)</w:t>
      </w:r>
    </w:p>
    <w:tbl>
      <w:tblPr>
        <w:tblW w:w="7050" w:type="dxa"/>
        <w:tblCellMar>
          <w:left w:w="0" w:type="dxa"/>
          <w:right w:w="0" w:type="dxa"/>
        </w:tblCellMar>
        <w:tblLook w:val="04A0" w:firstRow="1" w:lastRow="0" w:firstColumn="1" w:lastColumn="0" w:noHBand="0" w:noVBand="1"/>
      </w:tblPr>
      <w:tblGrid>
        <w:gridCol w:w="2897"/>
        <w:gridCol w:w="4153"/>
      </w:tblGrid>
      <w:tr w:rsidR="000132AF" w:rsidRPr="00C37822" w:rsidTr="00017B28">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Pr="00C37822" w:rsidRDefault="000132AF" w:rsidP="00017B28">
            <w:pPr>
              <w:spacing w:after="0" w:line="360" w:lineRule="auto"/>
              <w:jc w:val="center"/>
              <w:rPr>
                <w:rFonts w:ascii="Verdana" w:eastAsia="Times New Roman" w:hAnsi="Verdana"/>
                <w:color w:val="666666"/>
                <w:sz w:val="24"/>
                <w:szCs w:val="24"/>
              </w:rPr>
            </w:pPr>
            <w:r w:rsidRPr="00C37822">
              <w:rPr>
                <w:rFonts w:ascii="Verdana" w:eastAsia="Times New Roman" w:hAnsi="Verdana"/>
                <w:b/>
                <w:bCs/>
                <w:color w:val="666666"/>
                <w:sz w:val="24"/>
                <w:szCs w:val="24"/>
              </w:rPr>
              <w:t>Tassi nominali semestrali lordi espressi su base annua</w:t>
            </w:r>
          </w:p>
        </w:tc>
        <w:tc>
          <w:tcPr>
            <w:tcW w:w="0" w:type="auto"/>
            <w:tcBorders>
              <w:top w:val="single" w:sz="2" w:space="0" w:color="CCCCCC"/>
              <w:left w:val="single" w:sz="6" w:space="0" w:color="CCCCCC"/>
              <w:bottom w:val="single" w:sz="2" w:space="0" w:color="CCCCCC"/>
              <w:right w:val="single" w:sz="2" w:space="0" w:color="CCCCCC"/>
            </w:tcBorders>
            <w:tcMar>
              <w:top w:w="0" w:type="dxa"/>
              <w:left w:w="75" w:type="dxa"/>
              <w:bottom w:w="75" w:type="dxa"/>
              <w:right w:w="75" w:type="dxa"/>
            </w:tcMar>
            <w:hideMark/>
          </w:tcPr>
          <w:p w:rsidR="000132AF" w:rsidRPr="00C37822" w:rsidRDefault="000132AF" w:rsidP="00017B28">
            <w:pPr>
              <w:spacing w:after="0" w:line="360" w:lineRule="auto"/>
              <w:jc w:val="center"/>
              <w:rPr>
                <w:rFonts w:ascii="Verdana" w:eastAsia="Times New Roman" w:hAnsi="Verdana"/>
                <w:color w:val="666666"/>
                <w:sz w:val="24"/>
                <w:szCs w:val="24"/>
              </w:rPr>
            </w:pPr>
            <w:r w:rsidRPr="00C37822">
              <w:rPr>
                <w:rFonts w:ascii="Verdana" w:eastAsia="Times New Roman" w:hAnsi="Verdana"/>
                <w:color w:val="666666"/>
                <w:sz w:val="24"/>
                <w:szCs w:val="24"/>
              </w:rPr>
              <w:t>Rendimento del BOT 6M dell’asta avvenuta nel mese precedente il semestre di riferimento </w:t>
            </w:r>
            <w:r w:rsidRPr="00C37822">
              <w:rPr>
                <w:rFonts w:ascii="Verdana" w:eastAsia="Times New Roman" w:hAnsi="Verdana"/>
                <w:b/>
                <w:bCs/>
                <w:color w:val="666666"/>
                <w:sz w:val="24"/>
                <w:szCs w:val="24"/>
              </w:rPr>
              <w:t>+ 0,15%</w:t>
            </w:r>
          </w:p>
        </w:tc>
      </w:tr>
    </w:tbl>
    <w:p w:rsidR="000132AF" w:rsidRDefault="000132AF" w:rsidP="000132AF">
      <w:pPr>
        <w:spacing w:line="360" w:lineRule="auto"/>
        <w:ind w:left="600" w:right="742"/>
        <w:rPr>
          <w:rFonts w:eastAsia="SimSun" w:cs="Century Gothic"/>
          <w:color w:val="002060"/>
          <w:sz w:val="24"/>
          <w:szCs w:val="24"/>
          <w:lang w:eastAsia="zh-CN"/>
        </w:rPr>
      </w:pP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63115"/>
    <w:multiLevelType w:val="hybridMultilevel"/>
    <w:tmpl w:val="6E484808"/>
    <w:lvl w:ilvl="0" w:tplc="EF5EAAA0">
      <w:start w:val="1"/>
      <w:numFmt w:val="upperLetter"/>
      <w:lvlText w:val="%1)"/>
      <w:lvlJc w:val="left"/>
      <w:pPr>
        <w:ind w:left="720" w:hanging="360"/>
      </w:pPr>
      <w:rPr>
        <w:rFonts w:ascii="Verdana" w:eastAsiaTheme="minorHAnsi" w:hAnsi="Verdana" w:hint="default"/>
        <w:color w:val="222222"/>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nsid w:val="41F35954"/>
    <w:multiLevelType w:val="multilevel"/>
    <w:tmpl w:val="450A0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7E0D0C4B"/>
    <w:multiLevelType w:val="multilevel"/>
    <w:tmpl w:val="B218B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2AF"/>
    <w:rsid w:val="000132AF"/>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132AF"/>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uiPriority w:val="9"/>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uiPriority w:val="9"/>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132AF"/>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uiPriority w:val="9"/>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uiPriority w:val="9"/>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microsoft.com/office/2007/relationships/stylesWithEffects" Target="stylesWithEffect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ssaddpp.i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oste.it/" TargetMode="External"/><Relationship Id="rId4" Type="http://schemas.openxmlformats.org/officeDocument/2006/relationships/settings" Target="settings.xml"/><Relationship Id="rId9" Type="http://schemas.openxmlformats.org/officeDocument/2006/relationships/hyperlink" Target="http://www.rivalut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1378</Words>
  <Characters>7855</Characters>
  <Application>Microsoft Office Word</Application>
  <DocSecurity>0</DocSecurity>
  <Lines>65</Lines>
  <Paragraphs>18</Paragraphs>
  <ScaleCrop>false</ScaleCrop>
  <Company/>
  <LinksUpToDate>false</LinksUpToDate>
  <CharactersWithSpaces>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2014-03-16T08:34:00Z</dcterms:created>
  <dcterms:modified xsi:type="dcterms:W3CDTF">2014-03-16T08:35:00Z</dcterms:modified>
</cp:coreProperties>
</file>