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7EA" w:rsidRPr="009A21B5" w:rsidRDefault="007257EA" w:rsidP="009A21B5">
      <w:pPr>
        <w:ind w:left="459" w:right="317"/>
        <w:jc w:val="center"/>
        <w:rPr>
          <w:rFonts w:eastAsia="SimSun" w:cs="Century Gothic"/>
          <w:color w:val="002060"/>
          <w:sz w:val="28"/>
          <w:szCs w:val="32"/>
          <w:lang w:eastAsia="zh-CN"/>
        </w:rPr>
      </w:pPr>
      <w:r w:rsidRPr="009A21B5">
        <w:rPr>
          <w:rFonts w:eastAsia="SimSun" w:cs="Century Gothic"/>
          <w:color w:val="002060"/>
          <w:sz w:val="28"/>
          <w:szCs w:val="32"/>
          <w:lang w:eastAsia="zh-CN"/>
        </w:rPr>
        <w:t>Il PuntO n° 283</w:t>
      </w:r>
    </w:p>
    <w:p w:rsidR="007257EA" w:rsidRPr="009A21B5" w:rsidRDefault="007257EA" w:rsidP="00CE345C">
      <w:pPr>
        <w:shd w:val="clear" w:color="auto" w:fill="FFFFFF"/>
        <w:spacing w:before="0" w:after="0"/>
        <w:ind w:left="459" w:right="317"/>
        <w:jc w:val="center"/>
        <w:outlineLvl w:val="0"/>
        <w:rPr>
          <w:rFonts w:eastAsia="Times New Roman"/>
          <w:color w:val="1B4C74"/>
          <w:kern w:val="36"/>
          <w:sz w:val="28"/>
          <w:szCs w:val="32"/>
        </w:rPr>
      </w:pPr>
      <w:r w:rsidRPr="009A21B5">
        <w:rPr>
          <w:rFonts w:eastAsia="Times New Roman"/>
          <w:color w:val="1B4C74"/>
          <w:kern w:val="36"/>
          <w:sz w:val="28"/>
          <w:szCs w:val="32"/>
        </w:rPr>
        <w:t xml:space="preserve">Bonifici dall'estero: i beneficiari sono tutti evasori. </w:t>
      </w:r>
    </w:p>
    <w:p w:rsidR="00CE345C" w:rsidRDefault="007257EA" w:rsidP="00CE345C">
      <w:pPr>
        <w:shd w:val="clear" w:color="auto" w:fill="FFFFFF"/>
        <w:spacing w:before="0" w:after="0"/>
        <w:ind w:left="459" w:right="317"/>
        <w:jc w:val="center"/>
        <w:outlineLvl w:val="0"/>
        <w:rPr>
          <w:rFonts w:eastAsia="Times New Roman"/>
          <w:color w:val="1B4C74"/>
          <w:kern w:val="36"/>
          <w:sz w:val="28"/>
          <w:szCs w:val="32"/>
        </w:rPr>
      </w:pPr>
      <w:r w:rsidRPr="009A21B5">
        <w:rPr>
          <w:rFonts w:eastAsia="Times New Roman"/>
          <w:color w:val="1B4C74"/>
          <w:kern w:val="36"/>
          <w:sz w:val="28"/>
          <w:szCs w:val="32"/>
        </w:rPr>
        <w:t xml:space="preserve">Ritenuta automatica del 20 percento della somma </w:t>
      </w:r>
    </w:p>
    <w:p w:rsidR="007257EA" w:rsidRPr="009A21B5" w:rsidRDefault="007257EA" w:rsidP="00CE345C">
      <w:pPr>
        <w:shd w:val="clear" w:color="auto" w:fill="FFFFFF"/>
        <w:spacing w:before="0" w:after="0"/>
        <w:ind w:left="459" w:right="317"/>
        <w:jc w:val="center"/>
        <w:outlineLvl w:val="0"/>
        <w:rPr>
          <w:rFonts w:eastAsia="Times New Roman"/>
          <w:color w:val="1B4C74"/>
          <w:kern w:val="36"/>
          <w:sz w:val="28"/>
          <w:szCs w:val="32"/>
        </w:rPr>
      </w:pPr>
      <w:r w:rsidRPr="009A21B5">
        <w:rPr>
          <w:rFonts w:eastAsia="Times New Roman"/>
          <w:color w:val="1B4C74"/>
          <w:kern w:val="36"/>
          <w:sz w:val="28"/>
          <w:szCs w:val="32"/>
        </w:rPr>
        <w:t>bonific</w:t>
      </w:r>
      <w:r w:rsidRPr="009A21B5">
        <w:rPr>
          <w:rFonts w:eastAsia="Times New Roman"/>
          <w:color w:val="1B4C74"/>
          <w:kern w:val="36"/>
          <w:sz w:val="28"/>
          <w:szCs w:val="32"/>
        </w:rPr>
        <w:t>a</w:t>
      </w:r>
      <w:r w:rsidRPr="009A21B5">
        <w:rPr>
          <w:rFonts w:eastAsia="Times New Roman"/>
          <w:color w:val="1B4C74"/>
          <w:kern w:val="36"/>
          <w:sz w:val="28"/>
          <w:szCs w:val="32"/>
        </w:rPr>
        <w:t>ta. Poi si vedrà.</w:t>
      </w:r>
    </w:p>
    <w:p w:rsidR="007257EA" w:rsidRPr="009A21B5" w:rsidRDefault="007257EA" w:rsidP="009A21B5">
      <w:pPr>
        <w:shd w:val="clear" w:color="auto" w:fill="FFFFFF"/>
        <w:spacing w:before="150" w:after="270"/>
        <w:ind w:left="459" w:right="317"/>
        <w:jc w:val="center"/>
        <w:outlineLvl w:val="0"/>
        <w:rPr>
          <w:rFonts w:eastAsia="Times New Roman"/>
          <w:color w:val="1B4C74"/>
          <w:kern w:val="36"/>
          <w:sz w:val="28"/>
          <w:szCs w:val="32"/>
        </w:rPr>
      </w:pPr>
      <w:r w:rsidRPr="009A21B5">
        <w:rPr>
          <w:rFonts w:eastAsia="Times New Roman"/>
          <w:color w:val="1B4C74"/>
          <w:kern w:val="36"/>
          <w:sz w:val="28"/>
          <w:szCs w:val="32"/>
        </w:rPr>
        <w:t>Di Mauro Novelli 15-2-2014</w:t>
      </w:r>
    </w:p>
    <w:p w:rsidR="007257EA" w:rsidRPr="009A21B5" w:rsidRDefault="007257EA" w:rsidP="009A21B5">
      <w:pPr>
        <w:ind w:left="175" w:right="317"/>
        <w:rPr>
          <w:rFonts w:eastAsia="SimSun" w:cs="Century Gothic"/>
          <w:color w:val="002060"/>
          <w:szCs w:val="28"/>
          <w:lang w:eastAsia="zh-CN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813"/>
        <w:gridCol w:w="771"/>
        <w:gridCol w:w="2506"/>
        <w:gridCol w:w="867"/>
        <w:gridCol w:w="2331"/>
      </w:tblGrid>
      <w:tr w:rsidR="007257EA" w:rsidRPr="009A21B5" w:rsidTr="0096566A">
        <w:tc>
          <w:tcPr>
            <w:tcW w:w="1514" w:type="pct"/>
            <w:shd w:val="clear" w:color="auto" w:fill="FBD4B4" w:themeFill="accent6" w:themeFillTint="66"/>
          </w:tcPr>
          <w:p w:rsidR="007257EA" w:rsidRPr="009A21B5" w:rsidRDefault="007257EA" w:rsidP="009A21B5">
            <w:pPr>
              <w:spacing w:after="0"/>
              <w:ind w:left="61" w:right="25"/>
              <w:rPr>
                <w:rFonts w:asciiTheme="minorHAnsi" w:hAnsiTheme="minorHAnsi"/>
                <w:b/>
                <w:color w:val="002060"/>
                <w:sz w:val="14"/>
                <w:szCs w:val="20"/>
              </w:rPr>
            </w:pPr>
            <w:r w:rsidRPr="009A21B5">
              <w:rPr>
                <w:rFonts w:asciiTheme="minorHAnsi" w:eastAsia="Times New Roman" w:hAnsiTheme="minorHAnsi"/>
                <w:b/>
                <w:color w:val="1B4C74"/>
                <w:kern w:val="36"/>
                <w:sz w:val="14"/>
                <w:szCs w:val="20"/>
              </w:rPr>
              <w:t>Tutti coloro che ricevono somme</w:t>
            </w:r>
            <w:r w:rsidRPr="009A21B5">
              <w:rPr>
                <w:rFonts w:asciiTheme="minorHAnsi" w:hAnsiTheme="minorHAnsi"/>
                <w:b/>
                <w:color w:val="1B4C74"/>
                <w:kern w:val="36"/>
                <w:sz w:val="14"/>
                <w:szCs w:val="20"/>
              </w:rPr>
              <w:t xml:space="preserve"> dall’estero</w:t>
            </w:r>
            <w:r w:rsidRPr="009A21B5">
              <w:rPr>
                <w:rFonts w:asciiTheme="minorHAnsi" w:eastAsia="Times New Roman" w:hAnsiTheme="minorHAnsi"/>
                <w:b/>
                <w:color w:val="1B4C74"/>
                <w:kern w:val="36"/>
                <w:sz w:val="14"/>
                <w:szCs w:val="20"/>
              </w:rPr>
              <w:t xml:space="preserve"> sono </w:t>
            </w:r>
            <w:r w:rsidRPr="009A21B5">
              <w:rPr>
                <w:rFonts w:asciiTheme="minorHAnsi" w:hAnsiTheme="minorHAnsi"/>
                <w:b/>
                <w:color w:val="1B4C74"/>
                <w:kern w:val="36"/>
                <w:sz w:val="14"/>
                <w:szCs w:val="20"/>
              </w:rPr>
              <w:t xml:space="preserve">considerati </w:t>
            </w:r>
            <w:r w:rsidRPr="009A21B5">
              <w:rPr>
                <w:rFonts w:asciiTheme="minorHAnsi" w:eastAsia="Times New Roman" w:hAnsiTheme="minorHAnsi"/>
                <w:b/>
                <w:color w:val="1B4C74"/>
                <w:kern w:val="36"/>
                <w:sz w:val="14"/>
                <w:szCs w:val="20"/>
              </w:rPr>
              <w:t>evasori, fino a prova contraria</w:t>
            </w:r>
            <w:r w:rsidRPr="009A21B5">
              <w:rPr>
                <w:rFonts w:asciiTheme="minorHAnsi" w:hAnsiTheme="minorHAnsi"/>
                <w:b/>
                <w:color w:val="1B4C74"/>
                <w:kern w:val="36"/>
                <w:sz w:val="14"/>
                <w:szCs w:val="20"/>
              </w:rPr>
              <w:t xml:space="preserve"> (a loro carico)</w:t>
            </w:r>
            <w:r w:rsidR="0096566A" w:rsidRPr="009A21B5">
              <w:rPr>
                <w:rFonts w:asciiTheme="minorHAnsi" w:hAnsiTheme="minorHAnsi"/>
                <w:b/>
                <w:color w:val="1B4C74"/>
                <w:kern w:val="36"/>
                <w:sz w:val="14"/>
                <w:szCs w:val="20"/>
              </w:rPr>
              <w:t>: t</w:t>
            </w:r>
            <w:r w:rsidRPr="009A21B5">
              <w:rPr>
                <w:rFonts w:asciiTheme="minorHAnsi" w:hAnsiTheme="minorHAnsi"/>
                <w:b/>
                <w:color w:val="1B4C74"/>
                <w:kern w:val="36"/>
                <w:sz w:val="14"/>
                <w:szCs w:val="20"/>
              </w:rPr>
              <w:t>assa del 20%</w:t>
            </w:r>
          </w:p>
        </w:tc>
        <w:tc>
          <w:tcPr>
            <w:tcW w:w="41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7257EA" w:rsidRPr="009A21B5" w:rsidRDefault="007257EA" w:rsidP="009A21B5">
            <w:pPr>
              <w:ind w:left="459" w:right="317"/>
              <w:rPr>
                <w:rFonts w:asciiTheme="minorHAnsi" w:hAnsiTheme="minorHAnsi"/>
                <w:b/>
                <w:color w:val="002060"/>
                <w:sz w:val="14"/>
                <w:szCs w:val="20"/>
              </w:rPr>
            </w:pPr>
          </w:p>
        </w:tc>
        <w:tc>
          <w:tcPr>
            <w:tcW w:w="1349" w:type="pct"/>
            <w:shd w:val="clear" w:color="auto" w:fill="FBD4B4" w:themeFill="accent6" w:themeFillTint="66"/>
          </w:tcPr>
          <w:p w:rsidR="007257EA" w:rsidRPr="009A21B5" w:rsidRDefault="007257EA" w:rsidP="009A21B5">
            <w:pPr>
              <w:spacing w:after="0"/>
              <w:ind w:right="110"/>
              <w:rPr>
                <w:rFonts w:asciiTheme="minorHAnsi" w:hAnsiTheme="minorHAnsi"/>
                <w:b/>
                <w:color w:val="002060"/>
                <w:sz w:val="14"/>
                <w:szCs w:val="20"/>
              </w:rPr>
            </w:pPr>
            <w:r w:rsidRPr="009A21B5">
              <w:rPr>
                <w:rFonts w:asciiTheme="minorHAnsi" w:hAnsiTheme="minorHAnsi"/>
                <w:b/>
                <w:color w:val="002060"/>
                <w:sz w:val="14"/>
                <w:szCs w:val="20"/>
              </w:rPr>
              <w:t>Molti capitali resteranno all’estero invece di incrementare reddito d</w:t>
            </w:r>
            <w:r w:rsidRPr="009A21B5">
              <w:rPr>
                <w:rFonts w:asciiTheme="minorHAnsi" w:hAnsiTheme="minorHAnsi"/>
                <w:b/>
                <w:color w:val="002060"/>
                <w:sz w:val="14"/>
                <w:szCs w:val="20"/>
              </w:rPr>
              <w:t>i</w:t>
            </w:r>
            <w:r w:rsidRPr="009A21B5">
              <w:rPr>
                <w:rFonts w:asciiTheme="minorHAnsi" w:hAnsiTheme="minorHAnsi"/>
                <w:b/>
                <w:color w:val="002060"/>
                <w:sz w:val="14"/>
                <w:szCs w:val="20"/>
              </w:rPr>
              <w:t>sponibile interno ed investimenti in Italia.</w:t>
            </w:r>
          </w:p>
        </w:tc>
        <w:tc>
          <w:tcPr>
            <w:tcW w:w="467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7257EA" w:rsidRPr="009A21B5" w:rsidRDefault="007257EA" w:rsidP="009A21B5">
            <w:pPr>
              <w:ind w:left="459" w:right="317"/>
              <w:rPr>
                <w:rFonts w:asciiTheme="minorHAnsi" w:hAnsiTheme="minorHAnsi"/>
                <w:b/>
                <w:color w:val="002060"/>
                <w:sz w:val="14"/>
                <w:szCs w:val="20"/>
              </w:rPr>
            </w:pPr>
          </w:p>
        </w:tc>
        <w:tc>
          <w:tcPr>
            <w:tcW w:w="1255" w:type="pct"/>
            <w:shd w:val="clear" w:color="auto" w:fill="FBD4B4" w:themeFill="accent6" w:themeFillTint="66"/>
          </w:tcPr>
          <w:p w:rsidR="007257EA" w:rsidRPr="009A21B5" w:rsidRDefault="007257EA" w:rsidP="009A21B5">
            <w:pPr>
              <w:spacing w:after="0"/>
              <w:ind w:right="317"/>
              <w:rPr>
                <w:rFonts w:asciiTheme="minorHAnsi" w:hAnsiTheme="minorHAnsi"/>
                <w:b/>
                <w:color w:val="002060"/>
                <w:sz w:val="14"/>
                <w:szCs w:val="20"/>
              </w:rPr>
            </w:pPr>
            <w:r w:rsidRPr="009A21B5">
              <w:rPr>
                <w:rFonts w:asciiTheme="minorHAnsi" w:hAnsiTheme="minorHAnsi"/>
                <w:b/>
                <w:color w:val="002060"/>
                <w:sz w:val="14"/>
                <w:szCs w:val="20"/>
              </w:rPr>
              <w:t>Se i bonifici da paesi SEPA sono esenti, si creeranno triangolazioni?</w:t>
            </w:r>
          </w:p>
        </w:tc>
      </w:tr>
    </w:tbl>
    <w:p w:rsidR="007257EA" w:rsidRPr="009A21B5" w:rsidRDefault="007257EA" w:rsidP="009A21B5">
      <w:pPr>
        <w:ind w:left="459" w:right="317"/>
        <w:rPr>
          <w:rFonts w:eastAsia="SimSun" w:cs="Century Gothic"/>
          <w:color w:val="002060"/>
          <w:szCs w:val="28"/>
          <w:lang w:eastAsia="zh-CN"/>
        </w:rPr>
      </w:pPr>
    </w:p>
    <w:p w:rsidR="007257EA" w:rsidRPr="009A21B5" w:rsidRDefault="007257EA" w:rsidP="009A21B5">
      <w:pPr>
        <w:ind w:left="459" w:right="317"/>
        <w:rPr>
          <w:rFonts w:eastAsia="SimSun" w:cs="Century Gothic"/>
          <w:color w:val="002060"/>
          <w:szCs w:val="28"/>
          <w:lang w:eastAsia="zh-CN"/>
        </w:rPr>
      </w:pP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Dal 1° febbraio 2014, sui bonifici dall'estero a persone fisiche italiane la banca deve applicare automaticamente una ritenuta del 20% perché le somme accreditate si considerano reddito imponibile, salvo prova contraria del co</w:t>
      </w:r>
      <w:r w:rsidRPr="009A21B5">
        <w:rPr>
          <w:rFonts w:eastAsia="Times New Roman" w:cs="Lucida Sans Unicode"/>
          <w:color w:val="002060"/>
          <w:sz w:val="22"/>
          <w:szCs w:val="21"/>
        </w:rPr>
        <w:t>n</w:t>
      </w:r>
      <w:r w:rsidRPr="009A21B5">
        <w:rPr>
          <w:rFonts w:eastAsia="Times New Roman" w:cs="Lucida Sans Unicode"/>
          <w:color w:val="002060"/>
          <w:sz w:val="22"/>
          <w:szCs w:val="21"/>
        </w:rPr>
        <w:t>tribuente. Spetta al beneficiario del bonifico, infatti,  dimostrare che le so</w:t>
      </w:r>
      <w:r w:rsidRPr="009A21B5">
        <w:rPr>
          <w:rFonts w:eastAsia="Times New Roman" w:cs="Lucida Sans Unicode"/>
          <w:color w:val="002060"/>
          <w:sz w:val="22"/>
          <w:szCs w:val="21"/>
        </w:rPr>
        <w:t>m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me non hanno natura di compenso "reddituale". </w:t>
      </w:r>
    </w:p>
    <w:p w:rsidR="0096566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In altri termini, l’imposizione del 20 percento è applicata sui redditi da capit</w:t>
      </w:r>
      <w:r w:rsidRPr="009A21B5">
        <w:rPr>
          <w:rFonts w:eastAsia="Times New Roman" w:cs="Lucida Sans Unicode"/>
          <w:color w:val="002060"/>
          <w:sz w:val="22"/>
          <w:szCs w:val="21"/>
        </w:rPr>
        <w:t>a</w:t>
      </w:r>
      <w:r w:rsidRPr="009A21B5">
        <w:rPr>
          <w:rFonts w:eastAsia="Times New Roman" w:cs="Lucida Sans Unicode"/>
          <w:color w:val="002060"/>
          <w:sz w:val="22"/>
          <w:szCs w:val="21"/>
        </w:rPr>
        <w:t>le e redditi diversi, derivanti da investimenti all'estero e da attività estere di natura finanziaria, accreditati su conti correnti radicati in Italia.</w:t>
      </w:r>
      <w:r w:rsidR="0096566A" w:rsidRPr="009A21B5">
        <w:rPr>
          <w:rFonts w:eastAsia="Times New Roman" w:cs="Lucida Sans Unicode"/>
          <w:color w:val="002060"/>
          <w:sz w:val="22"/>
          <w:szCs w:val="21"/>
        </w:rPr>
        <w:t xml:space="preserve"> </w:t>
      </w:r>
    </w:p>
    <w:p w:rsidR="007257EA" w:rsidRPr="009A21B5" w:rsidRDefault="0096566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Intanto, per non sbagliare e portarsi avanti col lavoro, si applica su tutti i bon</w:t>
      </w:r>
      <w:r w:rsidRPr="009A21B5">
        <w:rPr>
          <w:rFonts w:eastAsia="Times New Roman" w:cs="Lucida Sans Unicode"/>
          <w:color w:val="002060"/>
          <w:sz w:val="22"/>
          <w:szCs w:val="21"/>
        </w:rPr>
        <w:t>i</w:t>
      </w:r>
      <w:r w:rsidRPr="009A21B5">
        <w:rPr>
          <w:rFonts w:eastAsia="Times New Roman" w:cs="Lucida Sans Unicode"/>
          <w:color w:val="002060"/>
          <w:sz w:val="22"/>
          <w:szCs w:val="21"/>
        </w:rPr>
        <w:t>fici! Poi si vedrà.</w: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E’ quanto previsto dall'art. 4, comma 2, del D.L. n. 167/1990, modificato dalla Legge n. 97/2013, dove si legge: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>“Il prelievo va in ogni caso effettuato, indipendentemente da un incarico alla riscossione, a meno che il  contribuente non attesti,  mediante una autocertificazione resa  in forma libera, che i flussi non costituiscono redditi di capitale o redditi diversi derivanti da investimenti all’estero o da attività estere di natura finanziaria. L’autocertificazione può essere resa in via preventiva e riguard</w:t>
      </w:r>
      <w:r w:rsidRPr="009A21B5">
        <w:rPr>
          <w:rFonts w:ascii="Arial" w:eastAsia="Times New Roman" w:hAnsi="Arial" w:cs="Arial"/>
          <w:color w:val="002060"/>
          <w:szCs w:val="21"/>
        </w:rPr>
        <w:t>a</w:t>
      </w:r>
      <w:r w:rsidRPr="009A21B5">
        <w:rPr>
          <w:rFonts w:ascii="Arial" w:eastAsia="Times New Roman" w:hAnsi="Arial" w:cs="Arial"/>
          <w:color w:val="002060"/>
          <w:szCs w:val="21"/>
        </w:rPr>
        <w:t>re la generalità dei flussi che saranno accreditati presso il m</w:t>
      </w:r>
      <w:r w:rsidRPr="009A21B5">
        <w:rPr>
          <w:rFonts w:ascii="Arial" w:eastAsia="Times New Roman" w:hAnsi="Arial" w:cs="Arial"/>
          <w:color w:val="002060"/>
          <w:szCs w:val="21"/>
        </w:rPr>
        <w:t>e</w:t>
      </w:r>
      <w:r w:rsidRPr="009A21B5">
        <w:rPr>
          <w:rFonts w:ascii="Arial" w:eastAsia="Times New Roman" w:hAnsi="Arial" w:cs="Arial"/>
          <w:color w:val="002060"/>
          <w:szCs w:val="21"/>
        </w:rPr>
        <w:t xml:space="preserve">desimo intermediario, salva contraria specifica indicazione da parte del contribuente.   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>Ai  fini  del  corretto  adempimento  dei  predetti  obblighi  di  s</w:t>
      </w:r>
      <w:r w:rsidRPr="009A21B5">
        <w:rPr>
          <w:rFonts w:ascii="Arial" w:eastAsia="Times New Roman" w:hAnsi="Arial" w:cs="Arial"/>
          <w:color w:val="002060"/>
          <w:szCs w:val="21"/>
        </w:rPr>
        <w:t>o</w:t>
      </w:r>
      <w:r w:rsidRPr="009A21B5">
        <w:rPr>
          <w:rFonts w:ascii="Arial" w:eastAsia="Times New Roman" w:hAnsi="Arial" w:cs="Arial"/>
          <w:color w:val="002060"/>
          <w:szCs w:val="21"/>
        </w:rPr>
        <w:t>stituzione  tributaria,  il contribuente  deve  fornire  ogni  utile  i</w:t>
      </w:r>
      <w:r w:rsidRPr="009A21B5">
        <w:rPr>
          <w:rFonts w:ascii="Arial" w:eastAsia="Times New Roman" w:hAnsi="Arial" w:cs="Arial"/>
          <w:color w:val="002060"/>
          <w:szCs w:val="21"/>
        </w:rPr>
        <w:t>n</w:t>
      </w:r>
      <w:r w:rsidRPr="009A21B5">
        <w:rPr>
          <w:rFonts w:ascii="Arial" w:eastAsia="Times New Roman" w:hAnsi="Arial" w:cs="Arial"/>
          <w:color w:val="002060"/>
          <w:szCs w:val="21"/>
        </w:rPr>
        <w:t xml:space="preserve">formazione  per  individuare  l’eventuale  natura reddituale del flusso nonché la fattispecie e la relativa base imponibile. In </w:t>
      </w:r>
      <w:r w:rsidRPr="009A21B5">
        <w:rPr>
          <w:rFonts w:ascii="Arial" w:eastAsia="Times New Roman" w:hAnsi="Arial" w:cs="Arial"/>
          <w:color w:val="002060"/>
          <w:szCs w:val="21"/>
        </w:rPr>
        <w:lastRenderedPageBreak/>
        <w:t>mancanza di tali informazioni,  le ritenute  o  le  imposte  sostit</w:t>
      </w:r>
      <w:r w:rsidRPr="009A21B5">
        <w:rPr>
          <w:rFonts w:ascii="Arial" w:eastAsia="Times New Roman" w:hAnsi="Arial" w:cs="Arial"/>
          <w:color w:val="002060"/>
          <w:szCs w:val="21"/>
        </w:rPr>
        <w:t>u</w:t>
      </w:r>
      <w:r w:rsidRPr="009A21B5">
        <w:rPr>
          <w:rFonts w:ascii="Arial" w:eastAsia="Times New Roman" w:hAnsi="Arial" w:cs="Arial"/>
          <w:color w:val="002060"/>
          <w:szCs w:val="21"/>
        </w:rPr>
        <w:t xml:space="preserve">tive  vanno  applicate  sull’intero  importo  del flusso ricevuto in pagamento. 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>Per le persone fisiche titolari di reddito d’impresa o di lavoro a</w:t>
      </w:r>
      <w:r w:rsidRPr="009A21B5">
        <w:rPr>
          <w:rFonts w:ascii="Arial" w:eastAsia="Times New Roman" w:hAnsi="Arial" w:cs="Arial"/>
          <w:color w:val="002060"/>
          <w:szCs w:val="21"/>
        </w:rPr>
        <w:t>u</w:t>
      </w:r>
      <w:r w:rsidRPr="009A21B5">
        <w:rPr>
          <w:rFonts w:ascii="Arial" w:eastAsia="Times New Roman" w:hAnsi="Arial" w:cs="Arial"/>
          <w:color w:val="002060"/>
          <w:szCs w:val="21"/>
        </w:rPr>
        <w:t xml:space="preserve">tonomo si presume che i flussi finanziari siano derivanti dall’esercizio di tali attività, salva indicazione contraria da parte dei medesimi contribuenti.  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>L’intermediario comunica le posizioni  per le quali non sia stato applicato il prelievo alla fonte.”</w:t>
      </w:r>
    </w:p>
    <w:p w:rsidR="007257EA" w:rsidRPr="009A21B5" w:rsidRDefault="007257EA" w:rsidP="009A21B5">
      <w:pPr>
        <w:shd w:val="clear" w:color="auto" w:fill="FFFFFF"/>
        <w:spacing w:after="0"/>
        <w:ind w:left="459" w:right="317"/>
        <w:jc w:val="left"/>
        <w:outlineLvl w:val="1"/>
        <w:rPr>
          <w:rFonts w:ascii="Lucida Sans Unicode" w:eastAsia="Times New Roman" w:hAnsi="Lucida Sans Unicode" w:cs="Lucida Sans Unicode"/>
          <w:color w:val="002060"/>
          <w:sz w:val="22"/>
          <w:szCs w:val="21"/>
        </w:rPr>
      </w:pP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Immagino le incombenze “burocratiche” a cui dovrà sottoporsi la vecchietta aiutata </w:t>
      </w:r>
      <w:r w:rsidR="009A21B5">
        <w:rPr>
          <w:rFonts w:eastAsia="Times New Roman" w:cs="Lucida Sans Unicode"/>
          <w:color w:val="002060"/>
          <w:sz w:val="22"/>
          <w:szCs w:val="21"/>
        </w:rPr>
        <w:t xml:space="preserve">con rimesse </w:t>
      </w:r>
      <w:r w:rsidRPr="009A21B5">
        <w:rPr>
          <w:rFonts w:eastAsia="Times New Roman" w:cs="Lucida Sans Unicode"/>
          <w:color w:val="002060"/>
          <w:sz w:val="22"/>
          <w:szCs w:val="21"/>
        </w:rPr>
        <w:t>dal figlio emigrato all’estero, o il giovane che riceve un regalo – non preannunciato -  dallo zio d’America.</w: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ascii="Arial" w:hAnsi="Arial" w:cs="Arial"/>
          <w:color w:val="000000"/>
          <w:sz w:val="16"/>
          <w:szCs w:val="18"/>
          <w:shd w:val="clear" w:color="auto" w:fill="FFFFFF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Esemplifichiamo. Si cederà il 20 percento allo stato se:</w:t>
      </w:r>
      <w:r w:rsidRPr="009A21B5">
        <w:rPr>
          <w:rFonts w:ascii="Arial" w:hAnsi="Arial" w:cs="Arial"/>
          <w:color w:val="000000"/>
          <w:sz w:val="16"/>
          <w:szCs w:val="18"/>
          <w:shd w:val="clear" w:color="auto" w:fill="FFFFFF"/>
        </w:rPr>
        <w:t xml:space="preserve">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- si  percepisce una rendita da soggetti esteri, per aver ceduto loro i</w:t>
      </w:r>
      <w:r w:rsidRPr="009A21B5">
        <w:rPr>
          <w:rFonts w:eastAsia="Times New Roman" w:cs="Lucida Sans Unicode"/>
          <w:color w:val="002060"/>
          <w:sz w:val="22"/>
          <w:szCs w:val="21"/>
        </w:rPr>
        <w:t>m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mobili o fatto prestiti;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- si ricevono compensi per fideiussioni o per garanzie prestate a soggetti esteri;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- si è impiegato capitale all'estero sul quale si percepiscono interessi;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- si introitano plusvalenze per aver venduto immobili o terreni situati all'</w:t>
      </w:r>
      <w:r w:rsidRPr="009A21B5">
        <w:rPr>
          <w:rFonts w:eastAsia="Times New Roman" w:cs="Lucida Sans Unicode"/>
          <w:color w:val="002060"/>
          <w:sz w:val="22"/>
          <w:szCs w:val="21"/>
        </w:rPr>
        <w:t>e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stero;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- si sono cedute quote di partecipazione in società con sede all'est</w:t>
      </w:r>
      <w:r w:rsidRPr="009A21B5">
        <w:rPr>
          <w:rFonts w:eastAsia="Times New Roman" w:cs="Lucida Sans Unicode"/>
          <w:color w:val="002060"/>
          <w:sz w:val="22"/>
          <w:szCs w:val="21"/>
        </w:rPr>
        <w:t>e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ro; </w:t>
      </w:r>
    </w:p>
    <w:p w:rsidR="007257EA" w:rsidRPr="009A21B5" w:rsidRDefault="007257EA" w:rsidP="00295EFC">
      <w:pPr>
        <w:shd w:val="clear" w:color="auto" w:fill="FFFFFF"/>
        <w:spacing w:before="0" w:after="0"/>
        <w:ind w:left="851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- si introitano somme per affitti da immobili e terreni in locazione situati all'estero.</w: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bookmarkStart w:id="0" w:name="_GoBack"/>
      <w:bookmarkEnd w:id="0"/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Ma che cosa deve fare il cittadino che riceve, tramite bonifico dall’estero, una somma di natura non reddituale? Coraggio!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 xml:space="preserve">“Il  contribuente  può  richiedere  all’intermediario  la  restituzione  dell’imposta  non  dovuta ovvero  applicata  in  misura  superiore  a  quanto  dovuto  entro  il  28  febbraio  dell’anno successivo a quello del prelievo. In tal caso l’intermediario scomputa l’importo restituito dai versamenti  successivi  ai  sensi  del  D.P.R.  10  novembre  1997,  n.  445.  </w:t>
      </w:r>
    </w:p>
    <w:p w:rsidR="007257EA" w:rsidRPr="009A21B5" w:rsidRDefault="007257EA" w:rsidP="009A21B5">
      <w:pPr>
        <w:shd w:val="clear" w:color="auto" w:fill="FFFFFF"/>
        <w:spacing w:after="0"/>
        <w:ind w:left="1168" w:right="1026"/>
        <w:outlineLvl w:val="1"/>
        <w:rPr>
          <w:rFonts w:ascii="Arial" w:eastAsia="Times New Roman" w:hAnsi="Arial" w:cs="Arial"/>
          <w:color w:val="002060"/>
          <w:szCs w:val="21"/>
        </w:rPr>
      </w:pPr>
      <w:r w:rsidRPr="009A21B5">
        <w:rPr>
          <w:rFonts w:ascii="Arial" w:eastAsia="Times New Roman" w:hAnsi="Arial" w:cs="Arial"/>
          <w:color w:val="002060"/>
          <w:szCs w:val="21"/>
        </w:rPr>
        <w:t>In  alternativa  alla richiesta  all’intermediario,  il  contribuente  può  presentare  all’</w:t>
      </w:r>
      <w:proofErr w:type="spellStart"/>
      <w:r w:rsidRPr="009A21B5">
        <w:rPr>
          <w:rFonts w:ascii="Arial" w:eastAsia="Times New Roman" w:hAnsi="Arial" w:cs="Arial"/>
          <w:color w:val="002060"/>
          <w:szCs w:val="21"/>
        </w:rPr>
        <w:t>Am</w:t>
      </w:r>
      <w:proofErr w:type="spellEnd"/>
      <w:r w:rsidRPr="009A21B5">
        <w:rPr>
          <w:rFonts w:ascii="Arial" w:eastAsia="Times New Roman" w:hAnsi="Arial" w:cs="Arial"/>
          <w:color w:val="002060"/>
          <w:szCs w:val="21"/>
        </w:rPr>
        <w:t>-ministrazione  finanziaria istanza  di  rimborso  con  le  modalità  e  i  termini  stabiliti  dall’articolo  38  del  D.P.R.  29 settembre 1973, n. 602.”</w: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b/>
          <w:color w:val="002060"/>
          <w:sz w:val="22"/>
          <w:szCs w:val="21"/>
        </w:rPr>
      </w:pPr>
      <w:r w:rsidRPr="009A21B5">
        <w:rPr>
          <w:rFonts w:eastAsia="Times New Roman" w:cs="Lucida Sans Unicode"/>
          <w:b/>
          <w:color w:val="002060"/>
          <w:sz w:val="22"/>
          <w:szCs w:val="21"/>
        </w:rPr>
        <w:t>Conseguenze</w:t>
      </w:r>
    </w:p>
    <w:p w:rsidR="007257EA" w:rsidRPr="009A21B5" w:rsidRDefault="007257EA" w:rsidP="009A21B5">
      <w:pPr>
        <w:numPr>
          <w:ilvl w:val="0"/>
          <w:numId w:val="2"/>
        </w:numPr>
        <w:shd w:val="clear" w:color="auto" w:fill="FFFFFF"/>
        <w:spacing w:before="0" w:after="150"/>
        <w:ind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Certamente diminuirà l’afflusso di capitali dall’estero, con relativo imp</w:t>
      </w:r>
      <w:r w:rsidRPr="009A21B5">
        <w:rPr>
          <w:rFonts w:eastAsia="Times New Roman" w:cs="Lucida Sans Unicode"/>
          <w:color w:val="002060"/>
          <w:sz w:val="22"/>
          <w:szCs w:val="21"/>
        </w:rPr>
        <w:t>o</w:t>
      </w:r>
      <w:r w:rsidRPr="009A21B5">
        <w:rPr>
          <w:rFonts w:eastAsia="Times New Roman" w:cs="Lucida Sans Unicode"/>
          <w:color w:val="002060"/>
          <w:sz w:val="22"/>
          <w:szCs w:val="21"/>
        </w:rPr>
        <w:t>verimento del reddito interno disponibile per consumi e investimenti. Ma</w:t>
      </w:r>
      <w:r w:rsidRPr="009A21B5">
        <w:rPr>
          <w:rFonts w:eastAsia="Times New Roman" w:cs="Lucida Sans Unicode"/>
          <w:color w:val="002060"/>
          <w:sz w:val="22"/>
          <w:szCs w:val="21"/>
        </w:rPr>
        <w:t>n</w:t>
      </w:r>
      <w:r w:rsidRPr="009A21B5">
        <w:rPr>
          <w:rFonts w:eastAsia="Times New Roman" w:cs="Lucida Sans Unicode"/>
          <w:color w:val="002060"/>
          <w:sz w:val="22"/>
          <w:szCs w:val="21"/>
        </w:rPr>
        <w:t>tenere all’estero quel flusso converrà finché l’impegno finanziario per la gestione sarà inferiore al 20%.</w:t>
      </w:r>
    </w:p>
    <w:p w:rsidR="007257EA" w:rsidRPr="009A21B5" w:rsidRDefault="007257EA" w:rsidP="009A21B5">
      <w:pPr>
        <w:numPr>
          <w:ilvl w:val="0"/>
          <w:numId w:val="2"/>
        </w:numPr>
        <w:shd w:val="clear" w:color="auto" w:fill="FFFFFF"/>
        <w:spacing w:before="0" w:after="150"/>
        <w:ind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I gestori dei grandi flussi valuteranno (già lo hanno fatto) velocemente ed opereranno di conseguenza. Rimarranno impastoiati i cittadini che ric</w:t>
      </w:r>
      <w:r w:rsidRPr="009A21B5">
        <w:rPr>
          <w:rFonts w:eastAsia="Times New Roman" w:cs="Lucida Sans Unicode"/>
          <w:color w:val="002060"/>
          <w:sz w:val="22"/>
          <w:szCs w:val="21"/>
        </w:rPr>
        <w:t>e</w:t>
      </w:r>
      <w:r w:rsidRPr="009A21B5">
        <w:rPr>
          <w:rFonts w:eastAsia="Times New Roman" w:cs="Lucida Sans Unicode"/>
          <w:color w:val="002060"/>
          <w:sz w:val="22"/>
          <w:szCs w:val="21"/>
        </w:rPr>
        <w:t>vono occasionalmente piccole somme, di natura finanziaria o meno.</w:t>
      </w:r>
    </w:p>
    <w:p w:rsidR="007257EA" w:rsidRPr="009A21B5" w:rsidRDefault="007257EA" w:rsidP="009A21B5">
      <w:pPr>
        <w:numPr>
          <w:ilvl w:val="0"/>
          <w:numId w:val="2"/>
        </w:numPr>
        <w:shd w:val="clear" w:color="auto" w:fill="FFFFFF"/>
        <w:spacing w:before="0" w:after="150"/>
        <w:ind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Ancora una volta il lavoro che deve svolgere l’Agenzia delle Entrate è scaricato sulle spalle dei cittadini coinvolti dall’ “operazione”. Per portarsi avanti col lavoro, la legge dice a </w:t>
      </w:r>
      <w:proofErr w:type="spellStart"/>
      <w:r w:rsidRPr="009A21B5">
        <w:rPr>
          <w:rFonts w:eastAsia="Times New Roman" w:cs="Lucida Sans Unicode"/>
          <w:color w:val="002060"/>
          <w:sz w:val="22"/>
          <w:szCs w:val="21"/>
        </w:rPr>
        <w:t>Befera</w:t>
      </w:r>
      <w:proofErr w:type="spellEnd"/>
      <w:r w:rsidRPr="009A21B5">
        <w:rPr>
          <w:rFonts w:eastAsia="Times New Roman" w:cs="Lucida Sans Unicode"/>
          <w:color w:val="002060"/>
          <w:sz w:val="22"/>
          <w:szCs w:val="21"/>
        </w:rPr>
        <w:t xml:space="preserve"> di considerare tutti coloro che r</w:t>
      </w:r>
      <w:r w:rsidRPr="009A21B5">
        <w:rPr>
          <w:rFonts w:eastAsia="Times New Roman" w:cs="Lucida Sans Unicode"/>
          <w:color w:val="002060"/>
          <w:sz w:val="22"/>
          <w:szCs w:val="21"/>
        </w:rPr>
        <w:t>i</w:t>
      </w:r>
      <w:r w:rsidRPr="009A21B5">
        <w:rPr>
          <w:rFonts w:eastAsia="Times New Roman" w:cs="Lucida Sans Unicode"/>
          <w:color w:val="002060"/>
          <w:sz w:val="22"/>
          <w:szCs w:val="21"/>
        </w:rPr>
        <w:t>cevono fondi dall’estero come evasori e tassarli a prescindere. Poi sarà cura dei coinvolti dimostrare di non essere evasori. Lo scopo è quello di non sovraffaticare la “sua” burocrazia</w:t>
      </w:r>
    </w:p>
    <w:p w:rsidR="007257EA" w:rsidRPr="009A21B5" w:rsidRDefault="007257EA" w:rsidP="009A21B5">
      <w:pPr>
        <w:numPr>
          <w:ilvl w:val="0"/>
          <w:numId w:val="2"/>
        </w:numPr>
        <w:shd w:val="clear" w:color="auto" w:fill="FFFFFF"/>
        <w:spacing w:before="0" w:after="150"/>
        <w:ind w:left="884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>Ancora una volta si dimostra il pressappochismo di iniziative legislative m</w:t>
      </w:r>
      <w:r w:rsidRPr="009A21B5">
        <w:rPr>
          <w:rFonts w:eastAsia="Times New Roman" w:cs="Lucida Sans Unicode"/>
          <w:color w:val="002060"/>
          <w:sz w:val="22"/>
          <w:szCs w:val="21"/>
        </w:rPr>
        <w:t>i</w:t>
      </w:r>
      <w:r w:rsidRPr="009A21B5">
        <w:rPr>
          <w:rFonts w:eastAsia="Times New Roman" w:cs="Lucida Sans Unicode"/>
          <w:color w:val="002060"/>
          <w:sz w:val="22"/>
          <w:szCs w:val="21"/>
        </w:rPr>
        <w:t>ranti solo a “punire”. Un esempio di questa superficialità: la tagliola è a</w:t>
      </w:r>
      <w:r w:rsidRPr="009A21B5">
        <w:rPr>
          <w:rFonts w:eastAsia="Times New Roman" w:cs="Lucida Sans Unicode"/>
          <w:color w:val="002060"/>
          <w:sz w:val="22"/>
          <w:szCs w:val="21"/>
        </w:rPr>
        <w:t>p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plicata anche se il bonifico proviene da “paesi SEPA”? Visto che stiamo parlando di  “Single euro </w:t>
      </w:r>
      <w:proofErr w:type="spellStart"/>
      <w:r w:rsidRPr="009A21B5">
        <w:rPr>
          <w:rFonts w:eastAsia="Times New Roman" w:cs="Lucida Sans Unicode"/>
          <w:color w:val="002060"/>
          <w:sz w:val="22"/>
          <w:szCs w:val="21"/>
        </w:rPr>
        <w:t>payments</w:t>
      </w:r>
      <w:proofErr w:type="spellEnd"/>
      <w:r w:rsidRPr="009A21B5">
        <w:rPr>
          <w:rFonts w:eastAsia="Times New Roman" w:cs="Lucida Sans Unicode"/>
          <w:color w:val="002060"/>
          <w:sz w:val="22"/>
          <w:szCs w:val="21"/>
        </w:rPr>
        <w:t xml:space="preserve"> area” la domanda non è pigra. Se la risposta è “alle somme provenienti da paesi </w:t>
      </w:r>
      <w:proofErr w:type="spellStart"/>
      <w:r w:rsidRPr="009A21B5">
        <w:rPr>
          <w:rFonts w:eastAsia="Times New Roman" w:cs="Lucida Sans Unicode"/>
          <w:color w:val="002060"/>
          <w:sz w:val="22"/>
          <w:szCs w:val="21"/>
        </w:rPr>
        <w:t>Sepa</w:t>
      </w:r>
      <w:proofErr w:type="spellEnd"/>
      <w:r w:rsidRPr="009A21B5">
        <w:rPr>
          <w:rFonts w:eastAsia="Times New Roman" w:cs="Lucida Sans Unicode"/>
          <w:color w:val="002060"/>
          <w:sz w:val="22"/>
          <w:szCs w:val="21"/>
        </w:rPr>
        <w:t xml:space="preserve"> l’imposta del 20 pe</w:t>
      </w:r>
      <w:r w:rsidRPr="009A21B5">
        <w:rPr>
          <w:rFonts w:eastAsia="Times New Roman" w:cs="Lucida Sans Unicode"/>
          <w:color w:val="002060"/>
          <w:sz w:val="22"/>
          <w:szCs w:val="21"/>
        </w:rPr>
        <w:t>r</w:t>
      </w:r>
      <w:r w:rsidRPr="009A21B5">
        <w:rPr>
          <w:rFonts w:eastAsia="Times New Roman" w:cs="Lucida Sans Unicode"/>
          <w:color w:val="002060"/>
          <w:sz w:val="22"/>
          <w:szCs w:val="21"/>
        </w:rPr>
        <w:t>cento non è applicata”, vorrà dire che gli interessati faranno transitare le somme su una banca “</w:t>
      </w:r>
      <w:proofErr w:type="spellStart"/>
      <w:r w:rsidRPr="009A21B5">
        <w:rPr>
          <w:rFonts w:eastAsia="Times New Roman" w:cs="Lucida Sans Unicode"/>
          <w:color w:val="002060"/>
          <w:sz w:val="22"/>
          <w:szCs w:val="21"/>
        </w:rPr>
        <w:t>Sepa</w:t>
      </w:r>
      <w:proofErr w:type="spellEnd"/>
      <w:r w:rsidRPr="009A21B5">
        <w:rPr>
          <w:rFonts w:eastAsia="Times New Roman" w:cs="Lucida Sans Unicode"/>
          <w:color w:val="002060"/>
          <w:sz w:val="22"/>
          <w:szCs w:val="21"/>
        </w:rPr>
        <w:t>” per poi accreditarli su un conto in Italia, col pagamento di qualche commissione bancaria in più.</w:t>
      </w:r>
    </w:p>
    <w:p w:rsidR="007257EA" w:rsidRPr="00C94FED" w:rsidRDefault="007257EA" w:rsidP="009A21B5">
      <w:pPr>
        <w:numPr>
          <w:ilvl w:val="0"/>
          <w:numId w:val="2"/>
        </w:numPr>
        <w:shd w:val="clear" w:color="auto" w:fill="FFFFFF"/>
        <w:spacing w:before="0" w:after="150"/>
        <w:ind w:left="884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Dei paesi </w:t>
      </w:r>
      <w:proofErr w:type="spellStart"/>
      <w:r w:rsidRPr="009A21B5">
        <w:rPr>
          <w:rFonts w:eastAsia="Times New Roman" w:cs="Lucida Sans Unicode"/>
          <w:color w:val="002060"/>
          <w:sz w:val="22"/>
          <w:szCs w:val="21"/>
        </w:rPr>
        <w:t>Sepa</w:t>
      </w:r>
      <w:proofErr w:type="spellEnd"/>
      <w:r w:rsidRPr="009A21B5">
        <w:rPr>
          <w:rFonts w:eastAsia="Times New Roman" w:cs="Lucida Sans Unicode"/>
          <w:color w:val="002060"/>
          <w:sz w:val="22"/>
          <w:szCs w:val="21"/>
        </w:rPr>
        <w:t xml:space="preserve">, sei non fanno parte della UE: </w:t>
      </w:r>
      <w:r w:rsidRPr="00C94FED">
        <w:rPr>
          <w:rFonts w:eastAsia="Times New Roman" w:cs="Lucida Sans Unicode"/>
          <w:color w:val="002060"/>
          <w:sz w:val="22"/>
          <w:szCs w:val="21"/>
        </w:rPr>
        <w:t>Svizzera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, Norvegia, </w:t>
      </w:r>
      <w:r w:rsidRPr="00C94FED">
        <w:rPr>
          <w:rFonts w:eastAsia="Times New Roman" w:cs="Lucida Sans Unicode"/>
          <w:color w:val="002060"/>
          <w:sz w:val="22"/>
          <w:szCs w:val="21"/>
        </w:rPr>
        <w:t>Princip</w:t>
      </w:r>
      <w:r w:rsidRPr="00C94FED">
        <w:rPr>
          <w:rFonts w:eastAsia="Times New Roman" w:cs="Lucida Sans Unicode"/>
          <w:color w:val="002060"/>
          <w:sz w:val="22"/>
          <w:szCs w:val="21"/>
        </w:rPr>
        <w:t>a</w:t>
      </w:r>
      <w:r w:rsidRPr="00C94FED">
        <w:rPr>
          <w:rFonts w:eastAsia="Times New Roman" w:cs="Lucida Sans Unicode"/>
          <w:color w:val="002060"/>
          <w:sz w:val="22"/>
          <w:szCs w:val="21"/>
        </w:rPr>
        <w:t>to di Monaco,</w:t>
      </w:r>
      <w:r w:rsidRPr="009A21B5">
        <w:rPr>
          <w:rFonts w:eastAsia="Times New Roman" w:cs="Lucida Sans Unicode"/>
          <w:color w:val="002060"/>
          <w:sz w:val="22"/>
          <w:szCs w:val="21"/>
        </w:rPr>
        <w:t xml:space="preserve"> Islanda, Liechtenstein. Alcuni di essi “curano” molto da v</w:t>
      </w:r>
      <w:r w:rsidRPr="009A21B5">
        <w:rPr>
          <w:rFonts w:eastAsia="Times New Roman" w:cs="Lucida Sans Unicode"/>
          <w:color w:val="002060"/>
          <w:sz w:val="22"/>
          <w:szCs w:val="21"/>
        </w:rPr>
        <w:t>i</w:t>
      </w:r>
      <w:r w:rsidRPr="009A21B5">
        <w:rPr>
          <w:rFonts w:eastAsia="Times New Roman" w:cs="Lucida Sans Unicode"/>
          <w:color w:val="002060"/>
          <w:sz w:val="22"/>
          <w:szCs w:val="21"/>
        </w:rPr>
        <w:t>cino i loro clienti e, soprattutto, i loro capitali.  Questa tagliola italica li favorirà ulteriormente</w:t>
      </w:r>
      <w:r w:rsidR="00F50820">
        <w:rPr>
          <w:rFonts w:eastAsia="Times New Roman" w:cs="Lucida Sans Unicode"/>
          <w:color w:val="002060"/>
          <w:sz w:val="22"/>
          <w:szCs w:val="21"/>
        </w:rPr>
        <w:t>?</w:t>
      </w:r>
    </w:p>
    <w:p w:rsidR="007257EA" w:rsidRPr="009A21B5" w:rsidRDefault="007257EA" w:rsidP="009A21B5">
      <w:pPr>
        <w:shd w:val="clear" w:color="auto" w:fill="FFFFFF"/>
        <w:spacing w:after="150"/>
        <w:ind w:left="819" w:right="317"/>
        <w:outlineLvl w:val="1"/>
        <w:rPr>
          <w:rFonts w:eastAsia="Times New Roman" w:cs="Lucida Sans Unicode"/>
          <w:color w:val="002060"/>
          <w:sz w:val="22"/>
          <w:szCs w:val="21"/>
        </w:rPr>
      </w:pPr>
    </w:p>
    <w:p w:rsidR="007257EA" w:rsidRPr="009A21B5" w:rsidRDefault="00237D19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>
        <w:rPr>
          <w:rFonts w:eastAsia="Times New Roman" w:cs="Lucida Sans Unicode"/>
          <w:color w:val="002060"/>
          <w:sz w:val="22"/>
          <w:szCs w:val="21"/>
        </w:rPr>
        <w:pict>
          <v:rect id="_x0000_i1025" style="width:0;height:1.5pt" o:hralign="center" o:hrstd="t" o:hr="t" fillcolor="#a0a0a0" stroked="f"/>
        </w:pic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b/>
          <w:color w:val="002060"/>
          <w:sz w:val="22"/>
          <w:szCs w:val="21"/>
        </w:rPr>
      </w:pP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b/>
          <w:color w:val="002060"/>
          <w:sz w:val="22"/>
          <w:szCs w:val="21"/>
        </w:rPr>
      </w:pPr>
      <w:r w:rsidRPr="009A21B5">
        <w:rPr>
          <w:rFonts w:eastAsia="Times New Roman" w:cs="Lucida Sans Unicode"/>
          <w:b/>
          <w:color w:val="002060"/>
          <w:sz w:val="22"/>
          <w:szCs w:val="21"/>
        </w:rPr>
        <w:t>Documentazione.</w:t>
      </w:r>
    </w:p>
    <w:p w:rsidR="007257EA" w:rsidRPr="009A21B5" w:rsidRDefault="007257EA" w:rsidP="009A21B5">
      <w:pPr>
        <w:shd w:val="clear" w:color="auto" w:fill="FFFFFF"/>
        <w:spacing w:after="150"/>
        <w:ind w:left="459" w:right="317"/>
        <w:outlineLvl w:val="1"/>
        <w:rPr>
          <w:rFonts w:eastAsia="Times New Roman" w:cs="Lucida Sans Unicode"/>
          <w:color w:val="002060"/>
          <w:sz w:val="22"/>
          <w:szCs w:val="21"/>
        </w:rPr>
      </w:pPr>
      <w:r w:rsidRPr="009A21B5">
        <w:rPr>
          <w:rFonts w:eastAsia="Times New Roman" w:cs="Lucida Sans Unicode"/>
          <w:color w:val="002060"/>
          <w:sz w:val="22"/>
          <w:szCs w:val="21"/>
        </w:rPr>
        <w:t xml:space="preserve">Ecco il link alla circolare </w:t>
      </w:r>
      <w:hyperlink r:id="rId9" w:history="1">
        <w:r w:rsidRPr="009A21B5">
          <w:rPr>
            <w:rStyle w:val="Collegamentoipertestuale"/>
            <w:rFonts w:eastAsia="Times New Roman" w:cs="Lucida Sans Unicode"/>
            <w:color w:val="C00000"/>
            <w:sz w:val="22"/>
            <w:szCs w:val="21"/>
          </w:rPr>
          <w:t>dell’Agenzia delle Entr</w:t>
        </w:r>
        <w:r w:rsidRPr="009A21B5">
          <w:rPr>
            <w:rStyle w:val="Collegamentoipertestuale"/>
            <w:rFonts w:eastAsia="Times New Roman" w:cs="Lucida Sans Unicode"/>
            <w:color w:val="C00000"/>
            <w:sz w:val="22"/>
            <w:szCs w:val="21"/>
          </w:rPr>
          <w:t>a</w:t>
        </w:r>
        <w:r w:rsidRPr="009A21B5">
          <w:rPr>
            <w:rStyle w:val="Collegamentoipertestuale"/>
            <w:rFonts w:eastAsia="Times New Roman" w:cs="Lucida Sans Unicode"/>
            <w:color w:val="C00000"/>
            <w:sz w:val="22"/>
            <w:szCs w:val="21"/>
          </w:rPr>
          <w:t>te Prot.2013/151663</w:t>
        </w:r>
      </w:hyperlink>
      <w:r w:rsidRPr="009A21B5">
        <w:rPr>
          <w:rFonts w:eastAsia="Times New Roman" w:cs="Lucida Sans Unicode"/>
          <w:color w:val="C00000"/>
          <w:sz w:val="22"/>
          <w:szCs w:val="21"/>
        </w:rPr>
        <w:t xml:space="preserve">: </w:t>
      </w:r>
      <w:r w:rsidRPr="009A21B5">
        <w:rPr>
          <w:rFonts w:eastAsia="Times New Roman" w:cs="Lucida Sans Unicode"/>
          <w:color w:val="002060"/>
          <w:sz w:val="22"/>
          <w:szCs w:val="21"/>
        </w:rPr>
        <w:t>“Modalità  di  attuazione  delle  disposizioni  relative  al  monitoraggio  fiscale  contenute nell’articolo  4  del  decreto  legge  28  giugno  1990,  n.  167,  convertito,  con modificazioni, dalla legge 4 agosto 1990, n. 227, come mod</w:t>
      </w:r>
      <w:r w:rsidRPr="009A21B5">
        <w:rPr>
          <w:rFonts w:eastAsia="Times New Roman" w:cs="Lucida Sans Unicode"/>
          <w:color w:val="002060"/>
          <w:sz w:val="22"/>
          <w:szCs w:val="21"/>
        </w:rPr>
        <w:t>i</w:t>
      </w:r>
      <w:r w:rsidRPr="009A21B5">
        <w:rPr>
          <w:rFonts w:eastAsia="Times New Roman" w:cs="Lucida Sans Unicode"/>
          <w:color w:val="002060"/>
          <w:sz w:val="22"/>
          <w:szCs w:val="21"/>
        </w:rPr>
        <w:t>ficato dall’articolo 9, comma 1, lettera c), della legge 6 agosto 2013, n. 97.”</w:t>
      </w:r>
    </w:p>
    <w:sectPr w:rsidR="007257EA" w:rsidRPr="009A21B5" w:rsidSect="00D6720A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D19" w:rsidRDefault="00237D19" w:rsidP="00612700">
      <w:pPr>
        <w:spacing w:before="0" w:after="0"/>
      </w:pPr>
      <w:r>
        <w:separator/>
      </w:r>
    </w:p>
  </w:endnote>
  <w:endnote w:type="continuationSeparator" w:id="0">
    <w:p w:rsidR="00237D19" w:rsidRDefault="00237D19" w:rsidP="006127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538" w:rsidRDefault="00237D19" w:rsidP="00FA1824">
    <w:pPr>
      <w:pStyle w:val="Pidipagina"/>
      <w:tabs>
        <w:tab w:val="left" w:pos="5712"/>
      </w:tabs>
      <w:jc w:val="left"/>
    </w:pPr>
    <w:sdt>
      <w:sdtPr>
        <w:id w:val="1874039085"/>
        <w:docPartObj>
          <w:docPartGallery w:val="Page Numbers (Bottom of Page)"/>
          <w:docPartUnique/>
        </w:docPartObj>
      </w:sdtPr>
      <w:sdtEndPr/>
      <w:sdtContent>
        <w:r>
          <w:rPr>
            <w:noProof/>
            <w:color w:val="auto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250237" o:spid="_x0000_s2070" type="#_x0000_t136" style="position:absolute;margin-left:301.5pt;margin-top:701.35pt;width:14pt;height:9.6pt;z-index:-251645952;mso-position-horizontal-relative:margin;mso-position-vertical-relative:margin" o:allowincell="f" adj="6629" fillcolor="silver" stroked="f">
              <v:fill opacity=".5"/>
              <v:textpath style="font-family:&quot;Century Gothic&quot;" string="."/>
              <w10:wrap anchorx="margin" anchory="margin"/>
            </v:shape>
          </w:pict>
        </w:r>
      </w:sdtContent>
    </w:sdt>
    <w:r w:rsidR="00FA1824">
      <w:tab/>
    </w:r>
  </w:p>
  <w:p w:rsidR="00612700" w:rsidRDefault="00237D19" w:rsidP="003533CE">
    <w:pPr>
      <w:pStyle w:val="Pidipagina"/>
    </w:pPr>
    <w:r>
      <w:rPr>
        <w:noProof/>
        <w:color w:val="auto"/>
      </w:rPr>
      <w:pict>
        <v:shape id="PowerPlusWaterMarkObject22243700" o:spid="_x0000_s2072" type="#_x0000_t136" style="position:absolute;left:0;text-align:left;margin-left:486.05pt;margin-top:701.45pt;width:13.8pt;height:32.75pt;rotation:270;z-index:-251644928;mso-position-horizontal-relative:margin;mso-position-vertical-relative:margin" o:allowincell="f" adj="10309" fillcolor="#f2f2f2 [3052]" stroked="f">
          <v:fill opacity=".5"/>
          <v:textpath style="font-family:&quot;Century Gothic&quot;" string="mn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D19" w:rsidRDefault="00237D19" w:rsidP="00612700">
      <w:pPr>
        <w:spacing w:before="0" w:after="0"/>
      </w:pPr>
      <w:r>
        <w:separator/>
      </w:r>
    </w:p>
  </w:footnote>
  <w:footnote w:type="continuationSeparator" w:id="0">
    <w:p w:rsidR="00237D19" w:rsidRDefault="00237D19" w:rsidP="006127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87" w:rsidRDefault="00237D19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2" o:spid="_x0000_s2074" type="#_x0000_t136" style="position:absolute;left:0;text-align:left;margin-left:0;margin-top:0;width:213.15pt;height:426.35pt;rotation:315;z-index:-251640832;mso-position-horizontal:center;mso-position-horizontal-relative:margin;mso-position-vertical:center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700" w:rsidRPr="00184138" w:rsidRDefault="00237D19" w:rsidP="00184138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3" o:spid="_x0000_s2075" type="#_x0000_t136" style="position:absolute;left:0;text-align:left;margin-left:470.55pt;margin-top:343.95pt;width:9.6pt;height:22.6pt;rotation:315;z-index:-251638784;mso-position-horizontal-relative:margin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  <w:r w:rsidR="00184138">
      <w:rPr>
        <w:rFonts w:ascii="Century Gothic" w:hAnsi="Century Gothic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87" w:rsidRDefault="00237D19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1" o:spid="_x0000_s2073" type="#_x0000_t136" style="position:absolute;left:0;text-align:left;margin-left:0;margin-top:0;width:213.15pt;height:426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3626F"/>
    <w:multiLevelType w:val="hybridMultilevel"/>
    <w:tmpl w:val="350EE4F6"/>
    <w:lvl w:ilvl="0" w:tplc="FC68CF24">
      <w:start w:val="1"/>
      <w:numFmt w:val="decimal"/>
      <w:lvlText w:val="%1)"/>
      <w:lvlJc w:val="left"/>
      <w:pPr>
        <w:ind w:left="81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39" w:hanging="360"/>
      </w:pPr>
    </w:lvl>
    <w:lvl w:ilvl="2" w:tplc="0410001B" w:tentative="1">
      <w:start w:val="1"/>
      <w:numFmt w:val="lowerRoman"/>
      <w:lvlText w:val="%3."/>
      <w:lvlJc w:val="right"/>
      <w:pPr>
        <w:ind w:left="2259" w:hanging="180"/>
      </w:pPr>
    </w:lvl>
    <w:lvl w:ilvl="3" w:tplc="0410000F" w:tentative="1">
      <w:start w:val="1"/>
      <w:numFmt w:val="decimal"/>
      <w:lvlText w:val="%4."/>
      <w:lvlJc w:val="left"/>
      <w:pPr>
        <w:ind w:left="2979" w:hanging="360"/>
      </w:pPr>
    </w:lvl>
    <w:lvl w:ilvl="4" w:tplc="04100019" w:tentative="1">
      <w:start w:val="1"/>
      <w:numFmt w:val="lowerLetter"/>
      <w:lvlText w:val="%5."/>
      <w:lvlJc w:val="left"/>
      <w:pPr>
        <w:ind w:left="3699" w:hanging="360"/>
      </w:pPr>
    </w:lvl>
    <w:lvl w:ilvl="5" w:tplc="0410001B" w:tentative="1">
      <w:start w:val="1"/>
      <w:numFmt w:val="lowerRoman"/>
      <w:lvlText w:val="%6."/>
      <w:lvlJc w:val="right"/>
      <w:pPr>
        <w:ind w:left="4419" w:hanging="180"/>
      </w:pPr>
    </w:lvl>
    <w:lvl w:ilvl="6" w:tplc="0410000F" w:tentative="1">
      <w:start w:val="1"/>
      <w:numFmt w:val="decimal"/>
      <w:lvlText w:val="%7."/>
      <w:lvlJc w:val="left"/>
      <w:pPr>
        <w:ind w:left="5139" w:hanging="360"/>
      </w:pPr>
    </w:lvl>
    <w:lvl w:ilvl="7" w:tplc="04100019" w:tentative="1">
      <w:start w:val="1"/>
      <w:numFmt w:val="lowerLetter"/>
      <w:lvlText w:val="%8."/>
      <w:lvlJc w:val="left"/>
      <w:pPr>
        <w:ind w:left="5859" w:hanging="360"/>
      </w:pPr>
    </w:lvl>
    <w:lvl w:ilvl="8" w:tplc="0410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/>
  <w:attachedTemplate r:id="rId1"/>
  <w:defaultTabStop w:val="708"/>
  <w:autoHyphenation/>
  <w:consecutiveHyphenLimit w:val="2"/>
  <w:hyphenationZone w:val="284"/>
  <w:doNotHyphenateCaps/>
  <w:characterSpacingControl w:val="doNotCompress"/>
  <w:savePreviewPicture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7EA"/>
    <w:rsid w:val="000242A6"/>
    <w:rsid w:val="00093B6B"/>
    <w:rsid w:val="00130235"/>
    <w:rsid w:val="00182D3F"/>
    <w:rsid w:val="00184138"/>
    <w:rsid w:val="001A3C40"/>
    <w:rsid w:val="001D07B7"/>
    <w:rsid w:val="001D0D71"/>
    <w:rsid w:val="001F2F9C"/>
    <w:rsid w:val="00214EAE"/>
    <w:rsid w:val="00232278"/>
    <w:rsid w:val="00237D19"/>
    <w:rsid w:val="0024336D"/>
    <w:rsid w:val="00295EFC"/>
    <w:rsid w:val="002D65DC"/>
    <w:rsid w:val="002E4C34"/>
    <w:rsid w:val="003533CE"/>
    <w:rsid w:val="00370059"/>
    <w:rsid w:val="00382A2D"/>
    <w:rsid w:val="003A0538"/>
    <w:rsid w:val="00416342"/>
    <w:rsid w:val="00423C10"/>
    <w:rsid w:val="00424BEE"/>
    <w:rsid w:val="00441E58"/>
    <w:rsid w:val="004A4031"/>
    <w:rsid w:val="004B75D8"/>
    <w:rsid w:val="004F322C"/>
    <w:rsid w:val="005148AD"/>
    <w:rsid w:val="00535F48"/>
    <w:rsid w:val="00561DD3"/>
    <w:rsid w:val="005E68E9"/>
    <w:rsid w:val="005F3BF0"/>
    <w:rsid w:val="00612700"/>
    <w:rsid w:val="00632BCB"/>
    <w:rsid w:val="007257EA"/>
    <w:rsid w:val="007339EC"/>
    <w:rsid w:val="00754201"/>
    <w:rsid w:val="007761F4"/>
    <w:rsid w:val="00777487"/>
    <w:rsid w:val="007E3481"/>
    <w:rsid w:val="00822B6D"/>
    <w:rsid w:val="008600AD"/>
    <w:rsid w:val="00863350"/>
    <w:rsid w:val="00873879"/>
    <w:rsid w:val="0089070B"/>
    <w:rsid w:val="008E3F39"/>
    <w:rsid w:val="0094402A"/>
    <w:rsid w:val="00950870"/>
    <w:rsid w:val="0096566A"/>
    <w:rsid w:val="0098615F"/>
    <w:rsid w:val="009A21B5"/>
    <w:rsid w:val="009B4EA1"/>
    <w:rsid w:val="00A42182"/>
    <w:rsid w:val="00B03057"/>
    <w:rsid w:val="00B34D35"/>
    <w:rsid w:val="00B35AE5"/>
    <w:rsid w:val="00B8393A"/>
    <w:rsid w:val="00B90F78"/>
    <w:rsid w:val="00BC1A6C"/>
    <w:rsid w:val="00BC76B5"/>
    <w:rsid w:val="00BF6EFA"/>
    <w:rsid w:val="00C200C3"/>
    <w:rsid w:val="00C47FEA"/>
    <w:rsid w:val="00C52805"/>
    <w:rsid w:val="00C55771"/>
    <w:rsid w:val="00C76E16"/>
    <w:rsid w:val="00C848D3"/>
    <w:rsid w:val="00CE345C"/>
    <w:rsid w:val="00CF4E30"/>
    <w:rsid w:val="00D05D56"/>
    <w:rsid w:val="00D07FAE"/>
    <w:rsid w:val="00D136AC"/>
    <w:rsid w:val="00D6720A"/>
    <w:rsid w:val="00D709E1"/>
    <w:rsid w:val="00DB5BBF"/>
    <w:rsid w:val="00DC04CB"/>
    <w:rsid w:val="00E369C2"/>
    <w:rsid w:val="00E43E6F"/>
    <w:rsid w:val="00E612FB"/>
    <w:rsid w:val="00E87CB0"/>
    <w:rsid w:val="00E90DF2"/>
    <w:rsid w:val="00ED2F87"/>
    <w:rsid w:val="00EE7D98"/>
    <w:rsid w:val="00F43ED9"/>
    <w:rsid w:val="00F50820"/>
    <w:rsid w:val="00F627BD"/>
    <w:rsid w:val="00FA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34D35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qFormat/>
    <w:rsid w:val="00B8393A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B8393A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34D35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qFormat/>
    <w:rsid w:val="00B8393A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B8393A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auronovelli.it/Ag.Entrate%20bonifici.pdf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elli\Desktop\MOD-WORD\a)%20A%20A%20NORMAL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817B7-D94C-49EE-9DD9-21517DE8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a) A A NORMAL</Template>
  <TotalTime>23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37</vt:i4>
      </vt:variant>
    </vt:vector>
  </HeadingPairs>
  <TitlesOfParts>
    <vt:vector size="38" baseType="lpstr">
      <vt:lpstr/>
      <vt:lpstr>Bonifici dall'estero: i beneficiari sono tutti evasori. </vt:lpstr>
      <vt:lpstr>Ritenuta automatica del 20 percento della somma </vt:lpstr>
      <vt:lpstr>bonificata. Poi si vedrà.</vt:lpstr>
      <vt:lpstr>Di Mauro Novelli 15-2-2014</vt:lpstr>
      <vt:lpstr>    Dal 1  febbraio 2014, sui bonifici dall'estero a persone fisiche italiane la ban</vt:lpstr>
      <vt:lpstr>    In altri termini, l’imposizione del 20 percento è applicata sui redditi da capit</vt:lpstr>
      <vt:lpstr>    Intanto, per non sbagliare e portarsi avanti col lavoro, si applica su tutti i b</vt:lpstr>
      <vt:lpstr>    E’ quanto previsto dall'art. 4, comma 2, del D.L. n. 167/1990, modificato dalla </vt:lpstr>
      <vt:lpstr>    “Il prelievo va in ogni caso effettuato, indipendentemente da un incarico alla r</vt:lpstr>
      <vt:lpstr>    Ai  fini  del  corretto  adempimento  dei  predetti  obblighi  di  sostituzione </vt:lpstr>
      <vt:lpstr>    Per le persone fisiche titolari di reddito d’impresa o di lavoro autonomo si pre</vt:lpstr>
      <vt:lpstr>    L’intermediario comunica le posizioni  per le quali non sia stato applicato il p</vt:lpstr>
      <vt:lpstr>    </vt:lpstr>
      <vt:lpstr>    Immagino le incombenze “burocratiche” a cui dovrà sottoporsi la vecchietta aiuta</vt:lpstr>
      <vt:lpstr>    Esemplifichiamo. Si cederà il 20 percento allo stato se: </vt:lpstr>
      <vt:lpstr>    - si  percepisce una rendita da soggetti esteri, per aver ceduto loro immobili o</vt:lpstr>
      <vt:lpstr>    - si ricevono compensi per fideiussioni o per garanzie prestate a soggetti ester</vt:lpstr>
      <vt:lpstr>    - si è impiegato capitale all'estero sul quale si percepiscono interessi; </vt:lpstr>
      <vt:lpstr>    - si introitano plusvalenze per aver venduto immobili o terreni situati all'este</vt:lpstr>
      <vt:lpstr>    - si sono cedute quote di partecipazione in società con sede all'estero; </vt:lpstr>
      <vt:lpstr>    - si introitano somme per affitti da immobili e terreni in locazione situati all</vt:lpstr>
      <vt:lpstr>    </vt:lpstr>
      <vt:lpstr>    Ma che cosa deve fare il cittadino che riceve, tramite bonifico dall’estero, una</vt:lpstr>
      <vt:lpstr>    “Il  contribuente  può  richiedere  all’intermediario  la  restituzione  dell’im</vt:lpstr>
      <vt:lpstr>    In  alternativa  alla richiesta  all’intermediario,  il  contribuente  può  pres</vt:lpstr>
      <vt:lpstr>    </vt:lpstr>
      <vt:lpstr>    Conseguenze</vt:lpstr>
      <vt:lpstr>    Certamente diminuirà l’afflusso di capitali dall’estero, con relativo impoverime</vt:lpstr>
      <vt:lpstr>    I gestori dei grandi flussi valuteranno (già lo hanno fatto) velocemente ed oper</vt:lpstr>
      <vt:lpstr>    Ancora una volta il lavoro che deve svolgere l’Agenzia delle Entrate è scaricato</vt:lpstr>
      <vt:lpstr>    Ancora una volta si dimostra il pressappochismo di iniziative legislative mirant</vt:lpstr>
      <vt:lpstr>    Dei paesi Sepa, sei non fanno parte della UE: Svizzera, Norvegia, Principato di </vt:lpstr>
      <vt:lpstr>    </vt:lpstr>
      <vt:lpstr>    </vt:lpstr>
      <vt:lpstr>    </vt:lpstr>
      <vt:lpstr>    Documentazione.</vt:lpstr>
      <vt:lpstr>    Ecco il link alla circolare dell’Agenzia delle Entrate Prot.2013/151663: “Modali</vt:lpstr>
    </vt:vector>
  </TitlesOfParts>
  <Company/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7</cp:revision>
  <cp:lastPrinted>2014-01-03T12:34:00Z</cp:lastPrinted>
  <dcterms:created xsi:type="dcterms:W3CDTF">2014-02-15T10:53:00Z</dcterms:created>
  <dcterms:modified xsi:type="dcterms:W3CDTF">2014-02-15T11:26:00Z</dcterms:modified>
</cp:coreProperties>
</file>