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6E2" w:rsidRDefault="00DD507F">
      <w:pPr>
        <w:jc w:val="center"/>
      </w:pPr>
      <w:r>
        <w:t>COMUNICATO STAMPA</w:t>
      </w:r>
    </w:p>
    <w:p w:rsidR="008766E2" w:rsidRDefault="00DD507F">
      <w:pPr>
        <w:pStyle w:val="Nessunaspaziatura"/>
      </w:pPr>
      <w:r>
        <w:t xml:space="preserve">DECRETO RIVALUTAZIONE QUOTE BANKITALIA: UNA RAPINA DI 7,5 MILIARDI A FAVORE BANCHE SOCIE. </w:t>
      </w:r>
    </w:p>
    <w:p w:rsidR="008766E2" w:rsidRDefault="00DD507F">
      <w:pPr>
        <w:pStyle w:val="Nessunaspaziatura"/>
      </w:pPr>
      <w:r>
        <w:t xml:space="preserve">SENZA CONTARE RISCHIO TANGIBILE DI ORO E RISERVE,CHE POSSONO ESSERE </w:t>
      </w:r>
      <w:r>
        <w:t>RECLAMATE NUOVI SOCI.</w:t>
      </w:r>
    </w:p>
    <w:p w:rsidR="008766E2" w:rsidRDefault="00DD507F">
      <w:pPr>
        <w:pStyle w:val="Nessunaspaziatura"/>
      </w:pPr>
      <w:r>
        <w:t>INTESA-S.PAOLO (31,7 % QUOTE) ED UNICREDIT (20 %) BENEFICATE GENTILE REGALO DI 3,45 MLD NETTI.</w:t>
      </w:r>
    </w:p>
    <w:p w:rsidR="008766E2" w:rsidRDefault="008766E2">
      <w:pPr>
        <w:pStyle w:val="Nessunaspaziatura"/>
        <w:jc w:val="both"/>
      </w:pPr>
    </w:p>
    <w:p w:rsidR="008766E2" w:rsidRDefault="00DD507F">
      <w:pPr>
        <w:pStyle w:val="Nessunaspaziatura"/>
        <w:jc w:val="both"/>
      </w:pPr>
      <w:r>
        <w:t xml:space="preserve">    Il contestato decreto sulla rivalutazione delle quote della Banca d’Italia, il cui capitale detenuto da banche ed assicurazioni passer</w:t>
      </w:r>
      <w:r>
        <w:t>à da 156.000 euro a 7,5 miliardi di euro, sarà una manna caduta dal cielo sui bilanci asfittici delle banche, una rapina per il bilancio pubblico costituito dallo stato patrimoniale di Bankitalia, che dovrà attingere dalle riserve ordinarie e straordinarie</w:t>
      </w:r>
      <w:r>
        <w:t>, pari a 22,6 miliardi di euro al 31.12.2012, per ricapitalizzare gratis le banche socie.</w:t>
      </w:r>
    </w:p>
    <w:p w:rsidR="008766E2" w:rsidRDefault="00DD507F">
      <w:pPr>
        <w:pStyle w:val="Nessunaspaziatura"/>
        <w:jc w:val="both"/>
      </w:pPr>
      <w:r>
        <w:t xml:space="preserve">   La parte del leone per Intesa San Paolo, che detenendo il 30,3 % del capitale di Bankitalia, avrà un gentile regalo piovuto dal cielo pari a 2 miliardi di euro net</w:t>
      </w:r>
      <w:r>
        <w:t xml:space="preserve">ti, Unicredit (22%) che riceverà un gradito bonifico a spese della collettività, pari 1,452 miliardi; al terzo posto le Assicurazioni Generali con il gradito omaggio di 415 milioni di euro; al quarto la Cassa di Risparmio di </w:t>
      </w:r>
      <w:proofErr w:type="spellStart"/>
      <w:r>
        <w:t>Bologna,che</w:t>
      </w:r>
      <w:proofErr w:type="spellEnd"/>
      <w:r>
        <w:t xml:space="preserve"> riceverà un maxi as</w:t>
      </w:r>
      <w:r>
        <w:t xml:space="preserve">segno di 409 milioni di euro; al quinto  posto l’Inps del collezionista di poltrone Mastrapasqua, che riceverà 330 milioni di euro netti; al sesto la </w:t>
      </w:r>
      <w:proofErr w:type="spellStart"/>
      <w:r>
        <w:t>Carige,con</w:t>
      </w:r>
      <w:proofErr w:type="spellEnd"/>
      <w:r>
        <w:t xml:space="preserve"> 264 milioni; al settimo la </w:t>
      </w:r>
      <w:proofErr w:type="spellStart"/>
      <w:r>
        <w:t>Bnl</w:t>
      </w:r>
      <w:proofErr w:type="spellEnd"/>
      <w:r>
        <w:t xml:space="preserve"> con 184 milioni netti; seguita da </w:t>
      </w:r>
      <w:proofErr w:type="spellStart"/>
      <w:r>
        <w:t>Mps</w:t>
      </w:r>
      <w:proofErr w:type="spellEnd"/>
      <w:r>
        <w:t xml:space="preserve"> (165 milioni); Cassa di Ri</w:t>
      </w:r>
      <w:r>
        <w:t xml:space="preserve">sparmio </w:t>
      </w:r>
      <w:proofErr w:type="spellStart"/>
      <w:r>
        <w:t>ndi</w:t>
      </w:r>
      <w:proofErr w:type="spellEnd"/>
      <w:r>
        <w:t xml:space="preserve"> </w:t>
      </w:r>
      <w:proofErr w:type="spellStart"/>
      <w:r>
        <w:t>Billa</w:t>
      </w:r>
      <w:proofErr w:type="spellEnd"/>
      <w:r>
        <w:t xml:space="preserve"> e Vercelli (138,6 milioni); Cassa di Parma e Piacenza con 132 milioni netti; </w:t>
      </w:r>
      <w:proofErr w:type="spellStart"/>
      <w:r>
        <w:t>CariFirenze</w:t>
      </w:r>
      <w:proofErr w:type="spellEnd"/>
      <w:r>
        <w:t>, con 125,4 milioni di euro, tutti al lordo della tassazione pari al 12%,il cui ammontare totale è di 900 milioni di euro.</w:t>
      </w:r>
    </w:p>
    <w:p w:rsidR="008766E2" w:rsidRDefault="008766E2">
      <w:pPr>
        <w:pStyle w:val="Nessunaspaziatura"/>
        <w:jc w:val="both"/>
      </w:pPr>
    </w:p>
    <w:tbl>
      <w:tblPr>
        <w:tblW w:w="4776" w:type="pct"/>
        <w:jc w:val="center"/>
        <w:tblCellMar>
          <w:left w:w="10" w:type="dxa"/>
          <w:right w:w="10" w:type="dxa"/>
        </w:tblCellMar>
        <w:tblLook w:val="04A0" w:firstRow="1" w:lastRow="0" w:firstColumn="1" w:lastColumn="0" w:noHBand="0" w:noVBand="1"/>
      </w:tblPr>
      <w:tblGrid>
        <w:gridCol w:w="1950"/>
        <w:gridCol w:w="1053"/>
        <w:gridCol w:w="908"/>
        <w:gridCol w:w="706"/>
        <w:gridCol w:w="1425"/>
        <w:gridCol w:w="1425"/>
        <w:gridCol w:w="1761"/>
      </w:tblGrid>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rPr>
                <w:b/>
                <w:bCs/>
              </w:rPr>
              <w:t>Ente partecipante</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pPr>
            <w:r>
              <w:rPr>
                <w:b/>
                <w:bCs/>
              </w:rPr>
              <w:t>Numero q</w:t>
            </w:r>
            <w:r>
              <w:rPr>
                <w:b/>
                <w:bCs/>
              </w:rPr>
              <w:t>uote</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pPr>
            <w:r>
              <w:rPr>
                <w:b/>
                <w:bCs/>
              </w:rPr>
              <w:t>Numero voti</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pPr>
            <w:r>
              <w:rPr>
                <w:b/>
                <w:bCs/>
              </w:rPr>
              <w:t>% quote</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rPr>
                <w:b/>
                <w:bCs/>
              </w:rPr>
            </w:pPr>
            <w:r>
              <w:rPr>
                <w:b/>
                <w:bCs/>
              </w:rPr>
              <w:t>Nuovo capitale lordo</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rPr>
                <w:b/>
                <w:bCs/>
              </w:rPr>
            </w:pPr>
            <w:r>
              <w:rPr>
                <w:b/>
                <w:bCs/>
              </w:rPr>
              <w:t>Al netto tassazione 12%</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rPr>
                <w:b/>
                <w:bCs/>
              </w:rPr>
            </w:pPr>
            <w:r>
              <w:rPr>
                <w:b/>
                <w:bCs/>
              </w:rPr>
              <w:t>Ammontare della tassazione (12%)</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Intesa Sanpaolo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91035</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50</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30.3%</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2.272.500.000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1.999.800.000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272.700.000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UniCredit</w:t>
            </w:r>
            <w:r w:rsidR="006F7232">
              <w:t xml:space="preserve"> </w:t>
            </w:r>
            <w:r>
              <w:t xml:space="preserve">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47184</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50</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22%</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1.650.000.000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1.452.000.000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198.000.000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Assicurazioni Generali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19000</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42</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6.3%</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472.500.000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415.800.000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56.700.000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Cassa di Risparmio in Bologna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18602</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41</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6.2%</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465.000.000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409.200.000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55.800.000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INPS</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15000</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34</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5.0%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375.000.000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330.000.000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45.000.000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Banca Carige S.p.A. –</w:t>
            </w:r>
            <w:r>
              <w:t xml:space="preserve"> </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11869</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27</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4.0%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300.000.000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264.000.000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36.000.000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6F7232" w:rsidP="006F7232">
            <w:pPr>
              <w:spacing w:after="0"/>
            </w:pPr>
            <w:r>
              <w:t>BNL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8500</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21</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2.8%</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210.000.000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184.800.000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25.200.000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Banca Monte dei Paschi di Siena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7500</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19</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2.5%</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187.500.000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165.000.000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22.500.000</w:t>
            </w:r>
          </w:p>
        </w:tc>
      </w:tr>
      <w:tr w:rsidR="008766E2" w:rsidTr="006F7232">
        <w:tblPrEx>
          <w:tblCellMar>
            <w:top w:w="0" w:type="dxa"/>
            <w:bottom w:w="0" w:type="dxa"/>
          </w:tblCellMar>
        </w:tblPrEx>
        <w:trPr>
          <w:trHeight w:val="672"/>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Cassa di Risparmio di Biella e Vercelli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6300</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16</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2.1%</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157.500.000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138.600.000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18.900.000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Cassa di Risparmio di Parma e Piacenza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6094</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16</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2.0%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150.000.000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132.000.000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18.000.000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pPr>
            <w:r>
              <w:t>Cassa di Risparmio di Firenze S.p.A.</w:t>
            </w: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5656</w:t>
            </w: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15</w:t>
            </w: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DD507F" w:rsidP="006F7232">
            <w:pPr>
              <w:spacing w:after="0"/>
              <w:ind w:right="128"/>
              <w:jc w:val="right"/>
            </w:pPr>
            <w:r>
              <w:t>1.9%</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142.500.000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125.400.000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17.100.000</w:t>
            </w:r>
          </w:p>
        </w:tc>
      </w:tr>
      <w:tr w:rsidR="008766E2" w:rsidTr="006F7232">
        <w:tblPrEx>
          <w:tblCellMar>
            <w:top w:w="0" w:type="dxa"/>
            <w:bottom w:w="0" w:type="dxa"/>
          </w:tblCellMar>
        </w:tblPrEx>
        <w:trPr>
          <w:jc w:val="center"/>
        </w:trPr>
        <w:tc>
          <w:tcPr>
            <w:tcW w:w="1951"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8766E2" w:rsidP="006F7232">
            <w:pPr>
              <w:spacing w:after="0"/>
            </w:pPr>
          </w:p>
        </w:tc>
        <w:tc>
          <w:tcPr>
            <w:tcW w:w="1053"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8766E2" w:rsidP="006F7232">
            <w:pPr>
              <w:spacing w:after="0"/>
              <w:ind w:right="128"/>
              <w:jc w:val="right"/>
            </w:pPr>
          </w:p>
        </w:tc>
        <w:tc>
          <w:tcPr>
            <w:tcW w:w="908"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8766E2" w:rsidP="006F7232">
            <w:pPr>
              <w:spacing w:after="0"/>
              <w:ind w:right="128"/>
              <w:jc w:val="right"/>
            </w:pPr>
          </w:p>
        </w:tc>
        <w:tc>
          <w:tcPr>
            <w:tcW w:w="706" w:type="dxa"/>
            <w:tcBorders>
              <w:top w:val="outset" w:sz="6" w:space="0" w:color="000000"/>
              <w:left w:val="outset" w:sz="6" w:space="0" w:color="000000"/>
              <w:bottom w:val="outset" w:sz="6" w:space="0" w:color="000000"/>
              <w:right w:val="outset" w:sz="6" w:space="0" w:color="000000"/>
            </w:tcBorders>
            <w:shd w:val="clear" w:color="auto" w:fill="FFFFFF"/>
            <w:tcMar>
              <w:top w:w="15" w:type="dxa"/>
              <w:left w:w="15" w:type="dxa"/>
              <w:bottom w:w="15" w:type="dxa"/>
              <w:right w:w="15" w:type="dxa"/>
            </w:tcMar>
            <w:vAlign w:val="center"/>
          </w:tcPr>
          <w:p w:rsidR="008766E2" w:rsidRDefault="008766E2" w:rsidP="006F7232">
            <w:pPr>
              <w:spacing w:after="0"/>
              <w:ind w:right="128"/>
              <w:jc w:val="right"/>
            </w:pP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6.382.500.000</w:t>
            </w:r>
          </w:p>
        </w:tc>
        <w:tc>
          <w:tcPr>
            <w:tcW w:w="14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5.616.600.000</w:t>
            </w:r>
          </w:p>
        </w:tc>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tcPr>
          <w:p w:rsidR="008766E2" w:rsidRDefault="00DD507F" w:rsidP="006F7232">
            <w:pPr>
              <w:spacing w:after="0"/>
              <w:ind w:right="128"/>
              <w:jc w:val="right"/>
            </w:pPr>
            <w:r>
              <w:t>765.900.000</w:t>
            </w:r>
          </w:p>
        </w:tc>
      </w:tr>
    </w:tbl>
    <w:p w:rsidR="008766E2" w:rsidRDefault="008766E2">
      <w:pPr>
        <w:pStyle w:val="Nessunaspaziatura"/>
        <w:jc w:val="both"/>
      </w:pPr>
    </w:p>
    <w:p w:rsidR="006F7232" w:rsidRDefault="006F7232">
      <w:pPr>
        <w:pStyle w:val="Nessunaspaziatura"/>
        <w:jc w:val="both"/>
      </w:pPr>
    </w:p>
    <w:p w:rsidR="008766E2" w:rsidRDefault="00DD507F">
      <w:pPr>
        <w:pStyle w:val="Nessunaspaziatura"/>
        <w:jc w:val="both"/>
      </w:pPr>
      <w:bookmarkStart w:id="0" w:name="_GoBack"/>
      <w:bookmarkEnd w:id="0"/>
      <w:r>
        <w:lastRenderedPageBreak/>
        <w:t>BILANCIO BANKITALIA AL 31.12.2012 (allegato ultima relazione del Governatore Banca d’Italia 31.5.2013).</w:t>
      </w:r>
    </w:p>
    <w:p w:rsidR="008766E2" w:rsidRDefault="008766E2">
      <w:pPr>
        <w:pStyle w:val="Nessunaspaziatura"/>
      </w:pPr>
    </w:p>
    <w:p w:rsidR="008766E2" w:rsidRDefault="00DD507F">
      <w:pPr>
        <w:pStyle w:val="Nessunaspaziatura"/>
      </w:pPr>
      <w:r>
        <w:t>STATO PATRIMONIALE PAG. 261 (in milioni di euro)</w:t>
      </w:r>
    </w:p>
    <w:p w:rsidR="008766E2" w:rsidRDefault="00DD507F">
      <w:pPr>
        <w:pStyle w:val="Nessunaspaziatura"/>
      </w:pPr>
      <w:r>
        <w:t xml:space="preserve">15 CAPITALE E </w:t>
      </w:r>
      <w:r>
        <w:t xml:space="preserve">RISERVE 22.607.429.359   </w:t>
      </w:r>
    </w:p>
    <w:p w:rsidR="008766E2" w:rsidRDefault="00DD507F">
      <w:pPr>
        <w:pStyle w:val="Nessunaspaziatura"/>
      </w:pPr>
      <w:r>
        <w:t xml:space="preserve">15.1 capitale sociale 156.000 </w:t>
      </w:r>
    </w:p>
    <w:p w:rsidR="008766E2" w:rsidRDefault="00DD507F">
      <w:pPr>
        <w:pStyle w:val="Nessunaspaziatura"/>
        <w:rPr>
          <w:b/>
        </w:rPr>
      </w:pPr>
      <w:r>
        <w:rPr>
          <w:b/>
        </w:rPr>
        <w:t xml:space="preserve">15.2 riserve ordinaria e straordinaria 14.867.762.438 </w:t>
      </w:r>
    </w:p>
    <w:p w:rsidR="008766E2" w:rsidRDefault="00DD507F">
      <w:pPr>
        <w:pStyle w:val="Nessunaspaziatura"/>
        <w:rPr>
          <w:b/>
        </w:rPr>
      </w:pPr>
      <w:r>
        <w:rPr>
          <w:b/>
        </w:rPr>
        <w:t xml:space="preserve">15.3 altre riserve 7.739.510.921 </w:t>
      </w:r>
    </w:p>
    <w:p w:rsidR="008766E2" w:rsidRDefault="00DD507F">
      <w:pPr>
        <w:pStyle w:val="Nessunaspaziatura"/>
        <w:rPr>
          <w:b/>
        </w:rPr>
      </w:pPr>
      <w:r>
        <w:rPr>
          <w:b/>
        </w:rPr>
        <w:t xml:space="preserve">16 UTILE NETTO DA RIPARTIRE 2.501.125.966 </w:t>
      </w:r>
    </w:p>
    <w:p w:rsidR="008766E2" w:rsidRDefault="00DD507F">
      <w:pPr>
        <w:pStyle w:val="Nessunaspaziatura"/>
      </w:pPr>
      <w:r>
        <w:t xml:space="preserve">TOTALE 609.973.399.508 </w:t>
      </w:r>
    </w:p>
    <w:p w:rsidR="008766E2" w:rsidRDefault="00DD507F">
      <w:pPr>
        <w:pStyle w:val="Nessunaspaziatura"/>
      </w:pPr>
      <w:r>
        <w:t>I CONTI D’ORDINE al 31 dicembre 2012 ammont</w:t>
      </w:r>
      <w:r>
        <w:t xml:space="preserve">ano a 659.165.890.419 euro. </w:t>
      </w:r>
    </w:p>
    <w:p w:rsidR="008766E2" w:rsidRDefault="008766E2">
      <w:pPr>
        <w:pStyle w:val="Nessunaspaziatura"/>
      </w:pPr>
    </w:p>
    <w:p w:rsidR="008766E2" w:rsidRDefault="00DD507F">
      <w:pPr>
        <w:pStyle w:val="Nessunaspaziatura"/>
      </w:pPr>
      <w:r>
        <w:t xml:space="preserve">   Senza contare il rischio tangibile che le banche o fondi di investimento italiani ed esteri, che entreranno nella “public company” di una  Bankitalia privatizzata dal Governo Letta-Saccomanni, in nettissima controtendenza r</w:t>
      </w:r>
      <w:r>
        <w:t>ispetto alle Banche Centrali di tutta Europa (pubbliche o semipubbliche), acquistando le quote eccedenti il 3% che le vecchie azioniste dovranno dismettere, potranno rivendicare il diritto alle riserve in oro ed in valuta, appostate nel bilancio al 31.12.2</w:t>
      </w:r>
      <w:r>
        <w:t>012, per la somma di 132,556 miliardi di euro.</w:t>
      </w:r>
    </w:p>
    <w:p w:rsidR="008766E2" w:rsidRDefault="00DD507F">
      <w:pPr>
        <w:pStyle w:val="Nessunaspaziatura"/>
      </w:pPr>
      <w:r>
        <w:t xml:space="preserve">    Un bel regalo alle banche ed ai banchieri di cui terrà certamente conto ed  a tempo debito il popolo italiano, espropriato di un bene pubblico che non era mai stato nella disponibilità dei Governi di turno</w:t>
      </w:r>
      <w:r>
        <w:t xml:space="preserve">.  </w:t>
      </w:r>
    </w:p>
    <w:p w:rsidR="008766E2" w:rsidRDefault="008766E2">
      <w:pPr>
        <w:autoSpaceDE w:val="0"/>
        <w:spacing w:after="0" w:line="240" w:lineRule="auto"/>
        <w:rPr>
          <w:rFonts w:ascii="HelveticaLTStd-Bold" w:hAnsi="HelveticaLTStd-Bold" w:cs="HelveticaLTStd-Bold"/>
          <w:b/>
          <w:bCs/>
          <w:color w:val="00567C"/>
          <w:sz w:val="16"/>
          <w:szCs w:val="16"/>
        </w:rPr>
      </w:pPr>
    </w:p>
    <w:p w:rsidR="008766E2" w:rsidRDefault="008766E2">
      <w:pPr>
        <w:autoSpaceDE w:val="0"/>
        <w:spacing w:after="0" w:line="240" w:lineRule="auto"/>
        <w:rPr>
          <w:rFonts w:ascii="HelveticaLTStd-Bold" w:hAnsi="HelveticaLTStd-Bold" w:cs="HelveticaLTStd-Bold"/>
          <w:b/>
          <w:bCs/>
          <w:color w:val="00567C"/>
          <w:sz w:val="16"/>
          <w:szCs w:val="16"/>
        </w:rPr>
      </w:pPr>
    </w:p>
    <w:p w:rsidR="008766E2" w:rsidRDefault="00DD507F">
      <w:pPr>
        <w:autoSpaceDE w:val="0"/>
        <w:spacing w:after="0" w:line="240" w:lineRule="auto"/>
        <w:rPr>
          <w:rFonts w:ascii="HelveticaLTStd-Bold" w:hAnsi="HelveticaLTStd-Bold" w:cs="HelveticaLTStd-Bold"/>
          <w:b/>
          <w:bCs/>
          <w:color w:val="00567C"/>
          <w:sz w:val="16"/>
          <w:szCs w:val="16"/>
        </w:rPr>
      </w:pPr>
      <w:r>
        <w:rPr>
          <w:rFonts w:ascii="HelveticaLTStd-Bold" w:hAnsi="HelveticaLTStd-Bold" w:cs="HelveticaLTStd-Bold"/>
          <w:b/>
          <w:bCs/>
          <w:color w:val="00567C"/>
          <w:sz w:val="16"/>
          <w:szCs w:val="16"/>
        </w:rPr>
        <w:t>Tavola 19.3 pag. 251</w:t>
      </w:r>
    </w:p>
    <w:p w:rsidR="008766E2" w:rsidRDefault="00DD507F">
      <w:pPr>
        <w:autoSpaceDE w:val="0"/>
        <w:spacing w:after="0" w:line="240" w:lineRule="auto"/>
      </w:pPr>
      <w:r>
        <w:rPr>
          <w:rFonts w:ascii="HelveticaLTStd-Bold" w:hAnsi="HelveticaLTStd-Bold" w:cs="HelveticaLTStd-Bold"/>
          <w:b/>
          <w:bCs/>
          <w:color w:val="000000"/>
          <w:sz w:val="18"/>
          <w:szCs w:val="18"/>
        </w:rPr>
        <w:t xml:space="preserve">Oro e attività nette in valuta </w:t>
      </w:r>
      <w:r>
        <w:rPr>
          <w:rFonts w:ascii="HelveticaLTStd-Roman" w:hAnsi="HelveticaLTStd-Roman" w:cs="HelveticaLTStd-Roman"/>
          <w:color w:val="000000"/>
          <w:sz w:val="18"/>
          <w:szCs w:val="18"/>
        </w:rPr>
        <w:t>(1)</w:t>
      </w:r>
    </w:p>
    <w:p w:rsidR="008766E2" w:rsidRDefault="00DD507F">
      <w:pPr>
        <w:autoSpaceDE w:val="0"/>
        <w:spacing w:after="0" w:line="240" w:lineRule="auto"/>
        <w:rPr>
          <w:rFonts w:ascii="HelveticaLTStd-Obl" w:hAnsi="HelveticaLTStd-Obl" w:cs="HelveticaLTStd-Obl"/>
          <w:i/>
          <w:iCs/>
          <w:color w:val="000000"/>
          <w:sz w:val="16"/>
          <w:szCs w:val="16"/>
        </w:rPr>
      </w:pPr>
      <w:r>
        <w:rPr>
          <w:rFonts w:ascii="HelveticaLTStd-Obl" w:hAnsi="HelveticaLTStd-Obl" w:cs="HelveticaLTStd-Obl"/>
          <w:i/>
          <w:iCs/>
          <w:color w:val="000000"/>
          <w:sz w:val="16"/>
          <w:szCs w:val="16"/>
        </w:rPr>
        <w:t>(milioni di euro)</w:t>
      </w:r>
    </w:p>
    <w:p w:rsidR="008766E2" w:rsidRDefault="00DD507F">
      <w:pPr>
        <w:autoSpaceDE w:val="0"/>
        <w:spacing w:after="0" w:line="240" w:lineRule="auto"/>
        <w:rPr>
          <w:rFonts w:ascii="HelveticaLTStd-Roman" w:hAnsi="HelveticaLTStd-Roman" w:cs="HelveticaLTStd-Roman"/>
          <w:color w:val="000000"/>
          <w:sz w:val="15"/>
          <w:szCs w:val="15"/>
        </w:rPr>
      </w:pPr>
      <w:r>
        <w:rPr>
          <w:rFonts w:ascii="HelveticaLTStd-Roman" w:hAnsi="HelveticaLTStd-Roman" w:cs="HelveticaLTStd-Roman"/>
          <w:color w:val="000000"/>
          <w:sz w:val="15"/>
          <w:szCs w:val="15"/>
        </w:rPr>
        <w:t xml:space="preserve">VOCI 31.12.2012 </w:t>
      </w:r>
    </w:p>
    <w:p w:rsidR="008766E2" w:rsidRDefault="00DD507F">
      <w:pPr>
        <w:autoSpaceDE w:val="0"/>
        <w:spacing w:after="0" w:line="240" w:lineRule="auto"/>
        <w:rPr>
          <w:rFonts w:ascii="HelveticaLTStd-Roman" w:hAnsi="HelveticaLTStd-Roman" w:cs="HelveticaLTStd-Roman"/>
          <w:color w:val="000000"/>
          <w:sz w:val="16"/>
          <w:szCs w:val="16"/>
        </w:rPr>
      </w:pPr>
      <w:r>
        <w:rPr>
          <w:rFonts w:ascii="HelveticaLTStd-Roman" w:hAnsi="HelveticaLTStd-Roman" w:cs="HelveticaLTStd-Roman"/>
          <w:color w:val="000000"/>
          <w:sz w:val="16"/>
          <w:szCs w:val="16"/>
        </w:rPr>
        <w:t>Oro 99.417 95.924</w:t>
      </w:r>
    </w:p>
    <w:p w:rsidR="008766E2" w:rsidRDefault="00DD507F">
      <w:pPr>
        <w:autoSpaceDE w:val="0"/>
        <w:spacing w:after="0" w:line="240" w:lineRule="auto"/>
        <w:rPr>
          <w:rFonts w:ascii="HelveticaLTStd-Roman" w:hAnsi="HelveticaLTStd-Roman" w:cs="HelveticaLTStd-Roman"/>
          <w:color w:val="000000"/>
          <w:sz w:val="16"/>
          <w:szCs w:val="16"/>
        </w:rPr>
      </w:pPr>
      <w:r>
        <w:rPr>
          <w:rFonts w:ascii="HelveticaLTStd-Roman" w:hAnsi="HelveticaLTStd-Roman" w:cs="HelveticaLTStd-Roman"/>
          <w:color w:val="000000"/>
          <w:sz w:val="16"/>
          <w:szCs w:val="16"/>
        </w:rPr>
        <w:t xml:space="preserve">Dollari statunitensi 19.780 </w:t>
      </w:r>
    </w:p>
    <w:p w:rsidR="008766E2" w:rsidRDefault="00DD507F">
      <w:pPr>
        <w:autoSpaceDE w:val="0"/>
        <w:spacing w:after="0" w:line="240" w:lineRule="auto"/>
        <w:rPr>
          <w:rFonts w:ascii="HelveticaLTStd-Roman" w:hAnsi="HelveticaLTStd-Roman" w:cs="HelveticaLTStd-Roman"/>
          <w:color w:val="000000"/>
          <w:sz w:val="16"/>
          <w:szCs w:val="16"/>
        </w:rPr>
      </w:pPr>
      <w:r>
        <w:rPr>
          <w:rFonts w:ascii="HelveticaLTStd-Roman" w:hAnsi="HelveticaLTStd-Roman" w:cs="HelveticaLTStd-Roman"/>
          <w:color w:val="000000"/>
          <w:sz w:val="16"/>
          <w:szCs w:val="16"/>
        </w:rPr>
        <w:t xml:space="preserve">Sterline inglesi 3.106 </w:t>
      </w:r>
    </w:p>
    <w:p w:rsidR="008766E2" w:rsidRDefault="00DD507F">
      <w:pPr>
        <w:autoSpaceDE w:val="0"/>
        <w:spacing w:after="0" w:line="240" w:lineRule="auto"/>
        <w:rPr>
          <w:rFonts w:ascii="HelveticaLTStd-Roman" w:hAnsi="HelveticaLTStd-Roman" w:cs="HelveticaLTStd-Roman"/>
          <w:color w:val="000000"/>
          <w:sz w:val="16"/>
          <w:szCs w:val="16"/>
        </w:rPr>
      </w:pPr>
      <w:r>
        <w:rPr>
          <w:rFonts w:ascii="HelveticaLTStd-Roman" w:hAnsi="HelveticaLTStd-Roman" w:cs="HelveticaLTStd-Roman"/>
          <w:color w:val="000000"/>
          <w:sz w:val="16"/>
          <w:szCs w:val="16"/>
        </w:rPr>
        <w:t xml:space="preserve">Yen giapponesi 5.212 </w:t>
      </w:r>
    </w:p>
    <w:p w:rsidR="008766E2" w:rsidRDefault="00DD507F">
      <w:pPr>
        <w:autoSpaceDE w:val="0"/>
        <w:spacing w:after="0" w:line="240" w:lineRule="auto"/>
        <w:rPr>
          <w:rFonts w:ascii="HelveticaLTStd-Roman" w:hAnsi="HelveticaLTStd-Roman" w:cs="HelveticaLTStd-Roman"/>
          <w:color w:val="000000"/>
          <w:sz w:val="16"/>
          <w:szCs w:val="16"/>
        </w:rPr>
      </w:pPr>
      <w:r>
        <w:rPr>
          <w:rFonts w:ascii="HelveticaLTStd-Roman" w:hAnsi="HelveticaLTStd-Roman" w:cs="HelveticaLTStd-Roman"/>
          <w:color w:val="000000"/>
          <w:sz w:val="16"/>
          <w:szCs w:val="16"/>
        </w:rPr>
        <w:t>Franchi svizzeri 3 275</w:t>
      </w:r>
    </w:p>
    <w:p w:rsidR="008766E2" w:rsidRDefault="00DD507F">
      <w:pPr>
        <w:autoSpaceDE w:val="0"/>
        <w:spacing w:after="0" w:line="240" w:lineRule="auto"/>
        <w:rPr>
          <w:rFonts w:ascii="HelveticaLTStd-Roman" w:hAnsi="HelveticaLTStd-Roman" w:cs="HelveticaLTStd-Roman"/>
          <w:color w:val="000000"/>
          <w:sz w:val="16"/>
          <w:szCs w:val="16"/>
        </w:rPr>
      </w:pPr>
      <w:r>
        <w:rPr>
          <w:rFonts w:ascii="HelveticaLTStd-Roman" w:hAnsi="HelveticaLTStd-Roman" w:cs="HelveticaLTStd-Roman"/>
          <w:color w:val="000000"/>
          <w:sz w:val="16"/>
          <w:szCs w:val="16"/>
        </w:rPr>
        <w:t>Altre valute 4</w:t>
      </w:r>
    </w:p>
    <w:p w:rsidR="008766E2" w:rsidRDefault="00DD507F">
      <w:pPr>
        <w:autoSpaceDE w:val="0"/>
        <w:spacing w:after="0" w:line="240" w:lineRule="auto"/>
        <w:rPr>
          <w:rFonts w:ascii="HelveticaLTStd-Roman" w:hAnsi="HelveticaLTStd-Roman" w:cs="HelveticaLTStd-Roman"/>
          <w:color w:val="000000"/>
          <w:sz w:val="16"/>
          <w:szCs w:val="16"/>
        </w:rPr>
      </w:pPr>
      <w:r>
        <w:rPr>
          <w:rFonts w:ascii="HelveticaLTStd-Roman" w:hAnsi="HelveticaLTStd-Roman" w:cs="HelveticaLTStd-Roman"/>
          <w:color w:val="000000"/>
          <w:sz w:val="16"/>
          <w:szCs w:val="16"/>
        </w:rPr>
        <w:t xml:space="preserve">Attività nette verso l’FMI </w:t>
      </w:r>
      <w:r>
        <w:rPr>
          <w:rFonts w:ascii="HelveticaLTStd-Roman" w:hAnsi="HelveticaLTStd-Roman" w:cs="HelveticaLTStd-Roman"/>
          <w:color w:val="000000"/>
          <w:sz w:val="16"/>
          <w:szCs w:val="16"/>
        </w:rPr>
        <w:t>(inclusi DSP) 5.034 4.421</w:t>
      </w:r>
    </w:p>
    <w:p w:rsidR="008766E2" w:rsidRDefault="00DD507F">
      <w:pPr>
        <w:autoSpaceDE w:val="0"/>
        <w:spacing w:after="0" w:line="240" w:lineRule="auto"/>
        <w:rPr>
          <w:rFonts w:ascii="HelveticaLTStd-Bold" w:hAnsi="HelveticaLTStd-Bold" w:cs="HelveticaLTStd-Bold"/>
          <w:b/>
          <w:bCs/>
          <w:color w:val="000000"/>
          <w:sz w:val="16"/>
          <w:szCs w:val="16"/>
        </w:rPr>
      </w:pPr>
      <w:r>
        <w:rPr>
          <w:rFonts w:ascii="HelveticaLTStd-Bold" w:hAnsi="HelveticaLTStd-Bold" w:cs="HelveticaLTStd-Bold"/>
          <w:b/>
          <w:bCs/>
          <w:color w:val="000000"/>
          <w:sz w:val="16"/>
          <w:szCs w:val="16"/>
        </w:rPr>
        <w:t>Totale 132.556 128.480</w:t>
      </w:r>
    </w:p>
    <w:p w:rsidR="008766E2" w:rsidRDefault="00DD507F">
      <w:pPr>
        <w:autoSpaceDE w:val="0"/>
        <w:spacing w:after="0" w:line="240" w:lineRule="auto"/>
        <w:jc w:val="both"/>
      </w:pPr>
      <w:r>
        <w:rPr>
          <w:rFonts w:ascii="HelveticaLTStd-Roman" w:hAnsi="HelveticaLTStd-Roman" w:cs="HelveticaLTStd-Roman"/>
          <w:color w:val="000000"/>
          <w:sz w:val="13"/>
          <w:szCs w:val="13"/>
        </w:rPr>
        <w:t xml:space="preserve">(1) Sono valutati ai cambi e ai prezzi di mercato. Non sono incluse le attività finanziarie (ETF e quote di OICR) denominate in valuta detenute a fronte delle riserve ordinaria e straordinaria e degli </w:t>
      </w:r>
      <w:r>
        <w:rPr>
          <w:rFonts w:ascii="HelveticaLTStd-Roman" w:hAnsi="HelveticaLTStd-Roman" w:cs="HelveticaLTStd-Roman"/>
          <w:color w:val="000000"/>
          <w:sz w:val="13"/>
          <w:szCs w:val="13"/>
        </w:rPr>
        <w:t>accantonamenti patrimoniali, in quanto costituiscono una posizione in valuta separata. – (2) Include operazioni temporanee di rifinanziamento in dollari per 2.088 milioni (1.546 nel 2011), poste in essere nell'ambito di un accordo tra la BCE e la Riserva f</w:t>
      </w:r>
      <w:r>
        <w:rPr>
          <w:rFonts w:ascii="HelveticaLTStd-Roman" w:hAnsi="HelveticaLTStd-Roman" w:cs="HelveticaLTStd-Roman"/>
          <w:color w:val="000000"/>
          <w:sz w:val="13"/>
          <w:szCs w:val="13"/>
        </w:rPr>
        <w:t>ederale finalizzato all'offerta di liquidità a breve in dollari al sistema bancario</w:t>
      </w:r>
    </w:p>
    <w:p w:rsidR="008766E2" w:rsidRDefault="00DD507F">
      <w:r>
        <w:t xml:space="preserve">IL COLLEGIO SINDACALE: Lorenzo De Angelis, Giovanni Fiori, Gian domenico Mosco, Sandro </w:t>
      </w:r>
      <w:proofErr w:type="spellStart"/>
      <w:r>
        <w:t>Sandri</w:t>
      </w:r>
      <w:proofErr w:type="spellEnd"/>
      <w:r>
        <w:t>, Dario Velo IL GOVERNATORE: Ignazio Visco</w:t>
      </w:r>
    </w:p>
    <w:p w:rsidR="008766E2" w:rsidRDefault="00DD507F">
      <w:r>
        <w:t xml:space="preserve">                                    </w:t>
      </w:r>
      <w:r>
        <w:t xml:space="preserve">                                                                                               Elio Lannutti (Presidente Adusbef)</w:t>
      </w:r>
    </w:p>
    <w:p w:rsidR="008766E2" w:rsidRDefault="00DD507F">
      <w:r>
        <w:t>Roma,30 gennaio 2014</w:t>
      </w:r>
    </w:p>
    <w:sectPr w:rsidR="008766E2">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07F" w:rsidRDefault="00DD507F">
      <w:pPr>
        <w:spacing w:after="0" w:line="240" w:lineRule="auto"/>
      </w:pPr>
      <w:r>
        <w:separator/>
      </w:r>
    </w:p>
  </w:endnote>
  <w:endnote w:type="continuationSeparator" w:id="0">
    <w:p w:rsidR="00DD507F" w:rsidRDefault="00DD5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HelveticaLTStd-Bold">
    <w:altName w:val="Arial"/>
    <w:charset w:val="00"/>
    <w:family w:val="swiss"/>
    <w:pitch w:val="default"/>
  </w:font>
  <w:font w:name="HelveticaLTStd-Roman">
    <w:altName w:val="Arial"/>
    <w:charset w:val="00"/>
    <w:family w:val="swiss"/>
    <w:pitch w:val="default"/>
  </w:font>
  <w:font w:name="HelveticaLTStd-Obl">
    <w:altName w:val="Arial"/>
    <w:charset w:val="00"/>
    <w:family w:val="swiss"/>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07F" w:rsidRDefault="00DD507F">
      <w:pPr>
        <w:spacing w:after="0" w:line="240" w:lineRule="auto"/>
      </w:pPr>
      <w:r>
        <w:rPr>
          <w:color w:val="000000"/>
        </w:rPr>
        <w:separator/>
      </w:r>
    </w:p>
  </w:footnote>
  <w:footnote w:type="continuationSeparator" w:id="0">
    <w:p w:rsidR="00DD507F" w:rsidRDefault="00DD50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attachedTemplate r:id="rId1"/>
  <w:defaultTabStop w:val="708"/>
  <w:autoHyphenation/>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
  <w:rsids>
    <w:rsidRoot w:val="008766E2"/>
    <w:rsid w:val="006F7232"/>
    <w:rsid w:val="008766E2"/>
    <w:rsid w:val="00DD50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it-IT"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pPr>
      <w:suppressAutoHyphen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pPr>
      <w:suppressAutoHyphen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760</Words>
  <Characters>4332</Characters>
  <Application>Microsoft Office Word</Application>
  <DocSecurity>0</DocSecurity>
  <Lines>36</Lines>
  <Paragraphs>10</Paragraphs>
  <ScaleCrop>false</ScaleCrop>
  <Company/>
  <LinksUpToDate>false</LinksUpToDate>
  <CharactersWithSpaces>5082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Mauro Novelli</cp:lastModifiedBy>
  <cp:revision>2</cp:revision>
  <dcterms:created xsi:type="dcterms:W3CDTF">2014-01-30T16:22:00Z</dcterms:created>
  <dcterms:modified xsi:type="dcterms:W3CDTF">2014-01-30T16:22:00Z</dcterms:modified>
</cp:coreProperties>
</file>