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3CB7" w:rsidRDefault="009E3CB7" w:rsidP="009E3CB7">
      <w:pPr>
        <w:pStyle w:val="Nessunaspaziatura"/>
        <w:ind w:left="0"/>
        <w:jc w:val="center"/>
      </w:pPr>
      <w:r>
        <w:t>COMUNICATO STAMPA</w:t>
      </w:r>
    </w:p>
    <w:p w:rsidR="009E3CB7" w:rsidRDefault="009E3CB7" w:rsidP="009E3CB7">
      <w:pPr>
        <w:pStyle w:val="Nessunaspaziatura"/>
        <w:ind w:left="0"/>
      </w:pPr>
    </w:p>
    <w:p w:rsidR="009E3CB7" w:rsidRDefault="009E3CB7" w:rsidP="009E3CB7">
      <w:pPr>
        <w:pStyle w:val="Nessunaspaziatura"/>
        <w:ind w:left="0"/>
        <w:jc w:val="center"/>
      </w:pPr>
      <w:r>
        <w:t>BANCHE: CRESCONO (+10,3%)  PIGNORAMENTI ED ESECUZIONI IMMOBILIARI CHE NEGLI ULTIMI 6 ANNI,HANNO MESSO IN  MEZZO AD UNA STRADA CIRCA 105 MILA FAMIGLIE, RADENDO AL SUOLO MEDIA CITTA’ (A SCELTA) COME UDINE,ANDRIA,AREZZO,ANCONA.</w:t>
      </w:r>
    </w:p>
    <w:p w:rsidR="009E3CB7" w:rsidRDefault="009E3CB7" w:rsidP="009E3CB7">
      <w:pPr>
        <w:pStyle w:val="Nessunaspaziatura"/>
        <w:ind w:left="0"/>
        <w:jc w:val="center"/>
      </w:pPr>
    </w:p>
    <w:p w:rsidR="009E3CB7" w:rsidRDefault="009E3CB7" w:rsidP="009E3CB7">
      <w:pPr>
        <w:pStyle w:val="Nessunaspaziatura"/>
        <w:ind w:left="0"/>
      </w:pPr>
      <w:r>
        <w:t>     Le banche italiane, dopo aver ricevuto 274,6 miliardi di prestiti triennali al tasso dell’1% dalla Bce, invece di dare ossigeno a famiglie e PMI strozzate ed usurate per far ripartire l’economia,  usano quella massa monetaria per imbottirsi di titoli di stato, abbellire i bilanci e pagare i dividendi ai loro azionisti, in particolare alle esose Fondazioni Bancarie, mettendo  in mezzo ad una strada migliaia di consumatori impossibilitati a pagare le rate dei mutui a causa della crisi prodotta dai banchieri.</w:t>
      </w:r>
    </w:p>
    <w:p w:rsidR="009E3CB7" w:rsidRDefault="009E3CB7" w:rsidP="009E3CB7">
      <w:pPr>
        <w:pStyle w:val="Nessunaspaziatura"/>
        <w:ind w:left="0"/>
      </w:pPr>
      <w:r>
        <w:t xml:space="preserve">  Se tra il 2008 ed il 2012 pignoramenti ed esecuzioni immobiliari sono aumentati di circa il 97,8 %,  arrivando a sfiorare i 47.000, Adusbef stima che per il 2013 - secondo i dati raccolti nei principali Tribunali alla data del 30 ottobre 2013 e proiettati al 31.12.2013 -, ci potrebbe essere una  ulteriore crescita con un più 10,3%, avvicinandosi in tal modo al 110% nel 2008-2013, con oltre 105.000 case </w:t>
      </w:r>
      <w:r>
        <w:rPr>
          <w:color w:val="FF0000"/>
        </w:rPr>
        <w:t> </w:t>
      </w:r>
      <w:r>
        <w:t> mandate all’asta ed altrettante famiglie gettate nella disperazione, da banche spietate quando devono gettare in mezzo ad una strada coloro che non riescono più a pagare le rate dei mutui.</w:t>
      </w:r>
    </w:p>
    <w:p w:rsidR="009E3CB7" w:rsidRDefault="009E3CB7" w:rsidP="009E3CB7">
      <w:pPr>
        <w:pStyle w:val="Nessunaspaziatura"/>
        <w:ind w:left="0"/>
      </w:pPr>
      <w:r>
        <w:t>   Dopo l’impennata dei pignoramenti del 2012 passati a 46.491 (per i 35 tribunali monitorati) con un aumento di oltre il 23%, l’ottavo rapporto Adusbef  che - con fatica e spesso reticenza – è riuscita ad ottenere in forma verbale o scritta l’andamento dei pignoramenti alla data del 30 ottobre  (con proiezioni stimate a fine dicembre), registra un rallentamento della crescita, stimata in + 4.780 ( +10,3%) nel 2013, ossia 19 pignoramenti per giorno lavorativo, che li porta a 51.271. Fa riflettere comunque il fatto che – vista la rilevanza del fenomeno -  i dati relativi ai pignoramenti non siano oggetto di specifica e periodica  diffusione in forma disaggregata da parte del Ministro della Giustizia Cancellieri, in tutt’altre faccende affaccendata.</w:t>
      </w:r>
    </w:p>
    <w:p w:rsidR="009E3CB7" w:rsidRDefault="009E3CB7" w:rsidP="009E3CB7">
      <w:pPr>
        <w:pStyle w:val="Nessunaspaziatura"/>
        <w:ind w:left="0"/>
      </w:pPr>
      <w:r>
        <w:t>   Nel monitoraggio su 35 principali Tribunali (per 28 di essi si sono registrati aumenti, per 7- Avezzano, L’Aquila, Latina, Milano, Pescara, Sulmona, Teramo- lievi diminuzioni), Bologna registra la crescita percentuale maggiore, con un + 37,9% e + 875 pignoramenti (da 2.307 a 3.182);  seguita da Rieti con un + 25,4%; terza Catania con un + 24,2%; quarta Frosinone, con + 22,1%; quinta Genova con + 21,5%; sesta Ferrara con + 21,3%; settima Viterbo + 21,0 %; ottava Messina + 19,8%; nona Pesaro + 19,6%; decima Bari  + 16 per cento.</w:t>
      </w:r>
    </w:p>
    <w:p w:rsidR="009E3CB7" w:rsidRDefault="009E3CB7" w:rsidP="009E3CB7">
      <w:pPr>
        <w:pStyle w:val="Nessunaspaziatura"/>
        <w:ind w:left="0"/>
      </w:pPr>
      <w:r>
        <w:t>   Anche in termini assoluti Bologna registra l’aumento maggiore con + 875 e 3.182 pignoramenti stimati nel 2013; seguito da Lecce con + 432 e 4.183 stimati nel 2013; terza Brescia, con + 369 e 4.915 pignoramenti; quarta Modena + 309 e 2.986; quinta Monza + 260 e 1.976 pignoramenti; sesta Roma con + 255 e 3.536 pignoramenti;  settima Catania con + 239 e 1.226 pignoramenti; ottava Torino  con + 215 e 3.436 pignoramenti; nona Rieti, con + 198 e 978 pignoramenti; a pari merito con Rieti, Verona con + 198 e 2670  pignoramenti.</w:t>
      </w:r>
    </w:p>
    <w:p w:rsidR="009E3CB7" w:rsidRDefault="009E3CB7" w:rsidP="009E3CB7">
      <w:pPr>
        <w:pStyle w:val="Nessunaspaziatura"/>
        <w:ind w:left="0"/>
      </w:pPr>
      <w:r>
        <w:t xml:space="preserve">      Se tra il 2006 e il 2007- data della prima rilevazione sui principali Tribunali italiani- la crescita dei pignoramenti è stata in media del 23%, con aumenti superiori al 20% </w:t>
      </w:r>
      <w:r>
        <w:lastRenderedPageBreak/>
        <w:t xml:space="preserve">nelle principali città italiane, a cominciare da Roma e Milano, con aumenti che sfioravano il 29% in centri come Napoli e Venezia e un picco del 41% a L'Aquila, con procedure immobiliari pari, secondo le stime Adusbef, al 3,5% del totale dei mutui, corrispondente, in valori assoluti, a circa 105 mila case su 3,5 milioni di mutui erogati con un incremento che supera il 100% a partire dal 2008. </w:t>
      </w:r>
    </w:p>
    <w:p w:rsidR="009E3CB7" w:rsidRDefault="009E3CB7" w:rsidP="009E3CB7">
      <w:pPr>
        <w:pStyle w:val="Nessunaspaziatura"/>
        <w:ind w:left="0"/>
      </w:pPr>
      <w:r>
        <w:t xml:space="preserve"> Se vengono sommati gli aumenti dei pignoramenti dal 2006 (+23%); 2007 (+19%); 2008 (+22,3%); 2009 (+ 15,7%); 2010 (boom del + 31,8%); 2011 (+5,2%); 2012 (+22,8%); 2013 (+10,3), arriviamo ad un incremento del + 150,1 per cento in otto anni, con la sparizione totale di una città (a scelta) come Udine, Andria, Arezzo o Ancona, e la disperazione di centocinquemila famiglie che dopo aver fatto sacrifici, colpite dalla crisi sistemica prodotta dall’avidità dei banchieri, si ritrovano nella più totale disperazione spesso per il continuo stillicidio di posti di lavoro falcidiati, ma anche per la riforma Fornero, che ha generato decine di migliaia di </w:t>
      </w:r>
      <w:proofErr w:type="spellStart"/>
      <w:r>
        <w:t>esodati</w:t>
      </w:r>
      <w:proofErr w:type="spellEnd"/>
      <w:r>
        <w:t>, senza stipendio né pensione.</w:t>
      </w:r>
    </w:p>
    <w:p w:rsidR="009E3CB7" w:rsidRDefault="009E3CB7" w:rsidP="009E3CB7">
      <w:pPr>
        <w:pStyle w:val="Nessunaspaziatura"/>
        <w:ind w:left="0"/>
      </w:pPr>
      <w:r>
        <w:t xml:space="preserve">   Adusbef e Federconsumatori, stigmatizzano le misure economiche del Governo, che invece di risolvere il dramma dei disoccupati, con i giovani 18-29 anni senza lavoro arrivati a 1.068.000 ed un incremento del +17,2% nell’ultimo anno, si preoccupa del benessere specifico di banche e banchieri, beneficate da misure ad hoc, quali la rivalutazione delle quote della Banca d'Italia;  i regali fiscali sulle perdite pari a 19,4 miliardi di euro dal 2015 al 2022;  le garanzie sulle obbligazioni tossiche  appioppate dalle banche allo Stato per un valore di 160 miliardi di euro; la pubblica malleva sulla Cassa Depositi e Prestiti per consentire alle banche di pagare fior di dividendi alle Fondazioni bancarie; dando atto al Parlamento di aver approvato l’unica misura richiesta dai consumatori sulla prima casa, che finalmente dal 1 gennaio 2014 vieta ad </w:t>
      </w:r>
      <w:proofErr w:type="spellStart"/>
      <w:r>
        <w:t>Equitalia</w:t>
      </w:r>
      <w:proofErr w:type="spellEnd"/>
      <w:r>
        <w:t xml:space="preserve"> di procedere a pignoramenti per immobili di valore inferiore a 120mila euro.</w:t>
      </w:r>
    </w:p>
    <w:p w:rsidR="009E3CB7" w:rsidRDefault="009E3CB7" w:rsidP="009E3CB7">
      <w:pPr>
        <w:pStyle w:val="Nessunaspaziatura"/>
        <w:ind w:left="0"/>
      </w:pPr>
    </w:p>
    <w:p w:rsidR="009E3CB7" w:rsidRDefault="009E3CB7" w:rsidP="009E3CB7">
      <w:pPr>
        <w:pStyle w:val="Nessunaspaziatura"/>
        <w:ind w:left="0"/>
      </w:pPr>
      <w:r>
        <w:t>                           </w:t>
      </w:r>
      <w:r>
        <w:t>             </w:t>
      </w:r>
      <w:r>
        <w:t xml:space="preserve">Elio Lannutti (Adusbef) Rosario </w:t>
      </w:r>
      <w:proofErr w:type="spellStart"/>
      <w:r>
        <w:t>Trefiletti</w:t>
      </w:r>
      <w:proofErr w:type="spellEnd"/>
      <w:r>
        <w:t xml:space="preserve"> (Federconsumatori)</w:t>
      </w:r>
    </w:p>
    <w:p w:rsidR="009E3CB7" w:rsidRDefault="009E3CB7" w:rsidP="009E3CB7">
      <w:pPr>
        <w:pStyle w:val="Nessunaspaziatura"/>
        <w:ind w:left="0"/>
      </w:pPr>
      <w:r>
        <w:t xml:space="preserve">Roma,30.11. 2013 </w:t>
      </w:r>
    </w:p>
    <w:p w:rsidR="009E3CB7" w:rsidRDefault="009E3CB7" w:rsidP="009E3CB7">
      <w:pPr>
        <w:pStyle w:val="Nessunaspaziatura"/>
      </w:pPr>
    </w:p>
    <w:p w:rsidR="009E3CB7" w:rsidRDefault="009E3CB7" w:rsidP="009E3CB7">
      <w:pPr>
        <w:pStyle w:val="Nessunaspaziatura"/>
      </w:pPr>
    </w:p>
    <w:p w:rsidR="009E3CB7" w:rsidRDefault="009E3CB7" w:rsidP="009E3CB7">
      <w:pPr>
        <w:pStyle w:val="Nessunaspaziatura"/>
      </w:pPr>
    </w:p>
    <w:p w:rsidR="009E3CB7" w:rsidRDefault="009E3CB7" w:rsidP="009E3CB7">
      <w:pPr>
        <w:pStyle w:val="Nessunaspaziatura"/>
      </w:pPr>
    </w:p>
    <w:p w:rsidR="009E3CB7" w:rsidRDefault="009E3CB7" w:rsidP="009E3CB7">
      <w:pPr>
        <w:pStyle w:val="Nessunaspaziatura"/>
        <w:ind w:left="0"/>
      </w:pPr>
      <w:r>
        <w:t>Segue tabella.</w:t>
      </w:r>
      <w:bookmarkStart w:id="0" w:name="_GoBack"/>
      <w:bookmarkEnd w:id="0"/>
    </w:p>
    <w:p w:rsidR="009E3CB7" w:rsidRDefault="009E3CB7" w:rsidP="009E3CB7">
      <w:pPr>
        <w:pStyle w:val="Nessunaspaziatura"/>
      </w:pPr>
    </w:p>
    <w:p w:rsidR="009E3CB7" w:rsidRDefault="009E3CB7" w:rsidP="009E3CB7">
      <w:pPr>
        <w:pStyle w:val="Nessunaspaziatura"/>
      </w:pPr>
    </w:p>
    <w:p w:rsidR="009E3CB7" w:rsidRDefault="009E3CB7" w:rsidP="009E3CB7">
      <w:pPr>
        <w:pStyle w:val="Nessunaspaziatura"/>
      </w:pPr>
    </w:p>
    <w:p w:rsidR="009E3CB7" w:rsidRDefault="009E3CB7" w:rsidP="009E3CB7">
      <w:pPr>
        <w:pStyle w:val="Nessunaspaziatura"/>
      </w:pPr>
    </w:p>
    <w:p w:rsidR="009E3CB7" w:rsidRDefault="009E3CB7" w:rsidP="009E3CB7">
      <w:pPr>
        <w:pStyle w:val="Nessunaspaziatura"/>
      </w:pPr>
    </w:p>
    <w:p w:rsidR="009E3CB7" w:rsidRDefault="009E3CB7" w:rsidP="009E3CB7">
      <w:pPr>
        <w:pStyle w:val="Nessunaspaziatura"/>
      </w:pPr>
    </w:p>
    <w:p w:rsidR="009E3CB7" w:rsidRDefault="009E3CB7" w:rsidP="009E3CB7">
      <w:pPr>
        <w:pStyle w:val="Nessunaspaziatura"/>
      </w:pPr>
    </w:p>
    <w:p w:rsidR="009E3CB7" w:rsidRDefault="009E3CB7" w:rsidP="009E3CB7">
      <w:pPr>
        <w:pStyle w:val="Nessunaspaziatura"/>
      </w:pPr>
    </w:p>
    <w:p w:rsidR="009E3CB7" w:rsidRDefault="009E3CB7" w:rsidP="009E3CB7">
      <w:pPr>
        <w:pStyle w:val="Nessunaspaziatura"/>
      </w:pPr>
    </w:p>
    <w:p w:rsidR="009E3CB7" w:rsidRDefault="009E3CB7" w:rsidP="009E3CB7">
      <w:pPr>
        <w:pStyle w:val="Nessunaspaziatura"/>
      </w:pPr>
    </w:p>
    <w:p w:rsidR="009E3CB7" w:rsidRDefault="009E3CB7" w:rsidP="009E3CB7">
      <w:pPr>
        <w:pStyle w:val="Nessunaspaziatura"/>
      </w:pPr>
    </w:p>
    <w:p w:rsidR="009E3CB7" w:rsidRDefault="009E3CB7" w:rsidP="009E3CB7">
      <w:pPr>
        <w:pStyle w:val="Nessunaspaziatura"/>
      </w:pPr>
    </w:p>
    <w:p w:rsidR="009E3CB7" w:rsidRDefault="009E3CB7" w:rsidP="009E3CB7">
      <w:pPr>
        <w:pStyle w:val="Nessunaspaziatura"/>
      </w:pPr>
    </w:p>
    <w:p w:rsidR="009E3CB7" w:rsidRDefault="009E3CB7" w:rsidP="009E3CB7">
      <w:pPr>
        <w:pStyle w:val="Nessunaspaziatura"/>
      </w:pPr>
    </w:p>
    <w:tbl>
      <w:tblPr>
        <w:tblW w:w="7812" w:type="dxa"/>
        <w:jc w:val="center"/>
        <w:tblInd w:w="21" w:type="dxa"/>
        <w:tblCellMar>
          <w:left w:w="0" w:type="dxa"/>
          <w:right w:w="0" w:type="dxa"/>
        </w:tblCellMar>
        <w:tblLook w:val="04A0" w:firstRow="1" w:lastRow="0" w:firstColumn="1" w:lastColumn="0" w:noHBand="0" w:noVBand="1"/>
      </w:tblPr>
      <w:tblGrid>
        <w:gridCol w:w="1330"/>
        <w:gridCol w:w="1813"/>
        <w:gridCol w:w="1813"/>
        <w:gridCol w:w="1559"/>
        <w:gridCol w:w="1596"/>
      </w:tblGrid>
      <w:tr w:rsidR="009E3CB7" w:rsidTr="009E3CB7">
        <w:trPr>
          <w:trHeight w:val="132"/>
          <w:jc w:val="center"/>
        </w:trPr>
        <w:tc>
          <w:tcPr>
            <w:tcW w:w="1609"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rsidR="009E3CB7" w:rsidRDefault="009E3CB7">
            <w:pPr>
              <w:spacing w:line="200" w:lineRule="atLeast"/>
              <w:jc w:val="center"/>
              <w:rPr>
                <w:b/>
                <w:bCs/>
                <w:color w:val="0F243E"/>
                <w:sz w:val="20"/>
                <w:szCs w:val="20"/>
                <w:lang w:eastAsia="en-US"/>
              </w:rPr>
            </w:pPr>
            <w:r>
              <w:rPr>
                <w:b/>
                <w:bCs/>
                <w:color w:val="0F243E"/>
                <w:sz w:val="20"/>
                <w:szCs w:val="20"/>
                <w:lang w:eastAsia="en-US"/>
              </w:rPr>
              <w:lastRenderedPageBreak/>
              <w:t xml:space="preserve">SEDE DEL  </w:t>
            </w:r>
          </w:p>
          <w:p w:rsidR="009E3CB7" w:rsidRDefault="009E3CB7">
            <w:pPr>
              <w:spacing w:line="200" w:lineRule="atLeast"/>
              <w:jc w:val="center"/>
              <w:rPr>
                <w:rFonts w:ascii="Trebuchet MS" w:hAnsi="Trebuchet MS"/>
                <w:b/>
                <w:bCs/>
                <w:color w:val="0F243E"/>
                <w:sz w:val="20"/>
                <w:szCs w:val="20"/>
                <w:lang w:eastAsia="en-US"/>
              </w:rPr>
            </w:pPr>
            <w:r>
              <w:rPr>
                <w:b/>
                <w:bCs/>
                <w:color w:val="0F243E"/>
                <w:sz w:val="20"/>
                <w:szCs w:val="20"/>
                <w:lang w:eastAsia="en-US"/>
              </w:rPr>
              <w:t xml:space="preserve">TRIBUNALE </w:t>
            </w:r>
          </w:p>
        </w:tc>
        <w:tc>
          <w:tcPr>
            <w:tcW w:w="2551"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rsidR="009E3CB7" w:rsidRDefault="009E3CB7">
            <w:pPr>
              <w:spacing w:line="200" w:lineRule="atLeast"/>
              <w:jc w:val="center"/>
              <w:rPr>
                <w:b/>
                <w:bCs/>
                <w:color w:val="0F243E"/>
                <w:sz w:val="20"/>
                <w:szCs w:val="20"/>
                <w:lang w:eastAsia="en-US"/>
              </w:rPr>
            </w:pPr>
            <w:r>
              <w:rPr>
                <w:b/>
                <w:bCs/>
                <w:color w:val="0F243E"/>
                <w:sz w:val="20"/>
                <w:szCs w:val="20"/>
                <w:lang w:eastAsia="en-US"/>
              </w:rPr>
              <w:t xml:space="preserve">PIGNORAMENTI  </w:t>
            </w:r>
          </w:p>
          <w:p w:rsidR="009E3CB7" w:rsidRDefault="009E3CB7">
            <w:pPr>
              <w:spacing w:line="200" w:lineRule="atLeast"/>
              <w:jc w:val="center"/>
              <w:rPr>
                <w:rFonts w:ascii="Trebuchet MS" w:hAnsi="Trebuchet MS"/>
                <w:b/>
                <w:bCs/>
                <w:color w:val="0F243E"/>
                <w:sz w:val="20"/>
                <w:szCs w:val="20"/>
                <w:lang w:eastAsia="en-US"/>
              </w:rPr>
            </w:pPr>
            <w:r>
              <w:rPr>
                <w:b/>
                <w:bCs/>
                <w:color w:val="0F243E"/>
                <w:sz w:val="20"/>
                <w:szCs w:val="20"/>
                <w:lang w:eastAsia="en-US"/>
              </w:rPr>
              <w:t>ESECUZIONI IMMOBILIARI 2012 (TOTALE PENDENTI SOPRAVVENUTI)</w:t>
            </w:r>
          </w:p>
        </w:tc>
        <w:tc>
          <w:tcPr>
            <w:tcW w:w="2410"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rsidR="009E3CB7" w:rsidRDefault="009E3CB7">
            <w:pPr>
              <w:spacing w:line="200" w:lineRule="atLeast"/>
              <w:jc w:val="center"/>
              <w:rPr>
                <w:b/>
                <w:bCs/>
                <w:color w:val="0F243E"/>
                <w:sz w:val="20"/>
                <w:szCs w:val="20"/>
                <w:lang w:eastAsia="en-US"/>
              </w:rPr>
            </w:pPr>
            <w:r>
              <w:rPr>
                <w:b/>
                <w:bCs/>
                <w:color w:val="0F243E"/>
                <w:sz w:val="20"/>
                <w:szCs w:val="20"/>
                <w:lang w:eastAsia="en-US"/>
              </w:rPr>
              <w:t xml:space="preserve">PIGNORAMENTI  </w:t>
            </w:r>
          </w:p>
          <w:p w:rsidR="009E3CB7" w:rsidRDefault="009E3CB7">
            <w:pPr>
              <w:spacing w:line="200" w:lineRule="atLeast"/>
              <w:jc w:val="center"/>
              <w:rPr>
                <w:rFonts w:ascii="Trebuchet MS" w:hAnsi="Trebuchet MS"/>
                <w:b/>
                <w:bCs/>
                <w:color w:val="0F243E"/>
                <w:sz w:val="20"/>
                <w:szCs w:val="20"/>
                <w:lang w:eastAsia="en-US"/>
              </w:rPr>
            </w:pPr>
            <w:r>
              <w:rPr>
                <w:b/>
                <w:bCs/>
                <w:color w:val="0F243E"/>
                <w:sz w:val="20"/>
                <w:szCs w:val="20"/>
                <w:lang w:eastAsia="en-US"/>
              </w:rPr>
              <w:t>ESECUZIONI IMMOBILIARI STIMATI da Adusbef  2013</w:t>
            </w:r>
          </w:p>
        </w:tc>
        <w:tc>
          <w:tcPr>
            <w:tcW w:w="1559" w:type="dxa"/>
            <w:tcBorders>
              <w:top w:val="single" w:sz="8" w:space="0" w:color="auto"/>
              <w:left w:val="nil"/>
              <w:bottom w:val="single" w:sz="8" w:space="0" w:color="auto"/>
              <w:right w:val="single" w:sz="8" w:space="0" w:color="auto"/>
            </w:tcBorders>
            <w:noWrap/>
            <w:tcMar>
              <w:top w:w="0" w:type="dxa"/>
              <w:left w:w="70" w:type="dxa"/>
              <w:bottom w:w="0" w:type="dxa"/>
              <w:right w:w="70" w:type="dxa"/>
            </w:tcMar>
            <w:hideMark/>
          </w:tcPr>
          <w:p w:rsidR="009E3CB7" w:rsidRDefault="009E3CB7">
            <w:pPr>
              <w:spacing w:line="200" w:lineRule="atLeast"/>
              <w:jc w:val="center"/>
              <w:rPr>
                <w:rFonts w:ascii="Calibri" w:hAnsi="Calibri"/>
                <w:color w:val="000000"/>
                <w:sz w:val="22"/>
                <w:szCs w:val="22"/>
                <w:lang w:eastAsia="en-US"/>
              </w:rPr>
            </w:pPr>
            <w:r>
              <w:rPr>
                <w:b/>
                <w:bCs/>
                <w:color w:val="0F243E"/>
                <w:sz w:val="20"/>
                <w:szCs w:val="20"/>
                <w:lang w:eastAsia="en-US"/>
              </w:rPr>
              <w:t>DIFFERENZA con il 2012</w:t>
            </w:r>
          </w:p>
        </w:tc>
        <w:tc>
          <w:tcPr>
            <w:tcW w:w="1629"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rsidR="009E3CB7" w:rsidRDefault="009E3CB7">
            <w:pPr>
              <w:spacing w:line="200" w:lineRule="atLeast"/>
              <w:jc w:val="center"/>
              <w:rPr>
                <w:b/>
                <w:bCs/>
                <w:color w:val="0F243E"/>
                <w:sz w:val="20"/>
                <w:szCs w:val="20"/>
                <w:lang w:eastAsia="en-US"/>
              </w:rPr>
            </w:pPr>
            <w:r>
              <w:rPr>
                <w:b/>
                <w:bCs/>
                <w:color w:val="0F243E"/>
                <w:sz w:val="20"/>
                <w:szCs w:val="20"/>
                <w:lang w:eastAsia="en-US"/>
              </w:rPr>
              <w:t>2013/2012</w:t>
            </w:r>
          </w:p>
          <w:p w:rsidR="009E3CB7" w:rsidRDefault="009E3CB7">
            <w:pPr>
              <w:spacing w:line="200" w:lineRule="atLeast"/>
              <w:jc w:val="center"/>
              <w:rPr>
                <w:b/>
                <w:bCs/>
                <w:color w:val="0F243E"/>
                <w:sz w:val="20"/>
                <w:szCs w:val="20"/>
                <w:lang w:eastAsia="en-US"/>
              </w:rPr>
            </w:pPr>
            <w:r>
              <w:rPr>
                <w:b/>
                <w:bCs/>
                <w:color w:val="0F243E"/>
                <w:sz w:val="20"/>
                <w:szCs w:val="20"/>
                <w:lang w:eastAsia="en-US"/>
              </w:rPr>
              <w:t>VARIAZIONI</w:t>
            </w:r>
          </w:p>
          <w:p w:rsidR="009E3CB7" w:rsidRDefault="009E3CB7">
            <w:pPr>
              <w:spacing w:line="200" w:lineRule="atLeast"/>
              <w:jc w:val="center"/>
              <w:rPr>
                <w:rFonts w:ascii="Calibri" w:hAnsi="Calibri"/>
                <w:color w:val="000000"/>
                <w:sz w:val="22"/>
                <w:szCs w:val="22"/>
                <w:lang w:eastAsia="en-US"/>
              </w:rPr>
            </w:pPr>
            <w:r>
              <w:rPr>
                <w:b/>
                <w:bCs/>
                <w:color w:val="0F243E"/>
                <w:sz w:val="20"/>
                <w:szCs w:val="20"/>
                <w:lang w:eastAsia="en-US"/>
              </w:rPr>
              <w:t>PERCENTUALI</w:t>
            </w:r>
          </w:p>
        </w:tc>
      </w:tr>
      <w:tr w:rsidR="009E3CB7" w:rsidTr="009E3CB7">
        <w:trPr>
          <w:trHeight w:val="132"/>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AVELLINO</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379</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402</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+23</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+6,1</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AVEZZANO</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224</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216</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- 8</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- 3,6</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 xml:space="preserve">BARI </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1.106</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1.283</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+177</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+16,0</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 xml:space="preserve">BERGAMO   </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1.651</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1.819</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+168</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+10,2</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BOLOGNA</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2.307</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3.182</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+875</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+37,9</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 xml:space="preserve">BRESCIA  </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4.546</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4.915</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+369</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+8,1</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CAGLIARI</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824</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947</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+123</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+14,9</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CATANIA</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987</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1.226</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+239</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+24,2</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CHIETI</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281</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288</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+7</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+2,5</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COMO</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1.479</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1.642</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+163</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+11,0</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COSENZA</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2.200</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2.358</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+158</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+7,2</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 xml:space="preserve">FERRARA  </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356</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432</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+76</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+21,3</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 xml:space="preserve">FROSINONE </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348</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425</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+77</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+22,1</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 xml:space="preserve">GENOVA   </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736</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894</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+158</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+21,5</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 xml:space="preserve">LANCIANO </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139</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138</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- 0,7</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L’AQUILA</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132</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136</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+4</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+3,0</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 xml:space="preserve">LATINA </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812</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768</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-44</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- 5,4</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 xml:space="preserve">LECCE </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3.751</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4.183</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+432</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+11,5</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MESSINA</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338</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405</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+67</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+19,8</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MILANO</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4.814</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4.653</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-161</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- 3,3</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MODENA</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2.677</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2.986</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+309</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+11,5</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MONZA</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1.716</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1976</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+260</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+15,2</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 xml:space="preserve">NAPOLI </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1.653</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1.845</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+192</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+11,6</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PESARO</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494</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591</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+97</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+19,6</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PESCARA</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512</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477</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-35</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- 6,8</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PRATO</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321</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369</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+48</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+15,0</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RIETI</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780</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978</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+198</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+25,4</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ROMA</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3.281</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3.536</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+255</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+7,8</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SULMONA</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133</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109</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-24</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- 18,0</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 xml:space="preserve">TARANTO </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718</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816</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+98</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+13,6</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TERAMO</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601</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572</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-29</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- 4,8</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 xml:space="preserve">TORINO  </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3.221</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3.436</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+215</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+6,7</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VASTO</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145</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166</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+21</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+14,5</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VERONA</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2.472</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2.670</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+198</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+ 8,0</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rPr>
                <w:rFonts w:ascii="Trebuchet MS" w:hAnsi="Trebuchet MS"/>
                <w:b/>
                <w:bCs/>
                <w:color w:val="0F243E"/>
                <w:sz w:val="20"/>
                <w:szCs w:val="20"/>
                <w:lang w:eastAsia="en-US"/>
              </w:rPr>
            </w:pPr>
            <w:r>
              <w:rPr>
                <w:rFonts w:ascii="Trebuchet MS" w:hAnsi="Trebuchet MS"/>
                <w:b/>
                <w:bCs/>
                <w:color w:val="0F243E"/>
                <w:sz w:val="20"/>
                <w:szCs w:val="20"/>
                <w:lang w:eastAsia="en-US"/>
              </w:rPr>
              <w:t>VITERBO</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357</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432</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+75</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+21,0</w:t>
            </w:r>
          </w:p>
        </w:tc>
      </w:tr>
      <w:tr w:rsidR="009E3CB7" w:rsidTr="009E3CB7">
        <w:trPr>
          <w:trHeight w:val="58"/>
          <w:jc w:val="center"/>
        </w:trPr>
        <w:tc>
          <w:tcPr>
            <w:tcW w:w="160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TOTALE</w:t>
            </w:r>
          </w:p>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dei 35 tribunali monitorati</w:t>
            </w:r>
          </w:p>
        </w:tc>
        <w:tc>
          <w:tcPr>
            <w:tcW w:w="25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46.491</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51.271</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+ 4.780</w:t>
            </w:r>
          </w:p>
        </w:tc>
        <w:tc>
          <w:tcPr>
            <w:tcW w:w="162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E3CB7" w:rsidRDefault="009E3CB7">
            <w:pPr>
              <w:spacing w:line="200" w:lineRule="atLeast"/>
              <w:jc w:val="right"/>
              <w:rPr>
                <w:rFonts w:ascii="Trebuchet MS" w:hAnsi="Trebuchet MS"/>
                <w:b/>
                <w:bCs/>
                <w:color w:val="0F243E"/>
                <w:sz w:val="20"/>
                <w:szCs w:val="20"/>
                <w:lang w:eastAsia="en-US"/>
              </w:rPr>
            </w:pPr>
            <w:r>
              <w:rPr>
                <w:rFonts w:ascii="Trebuchet MS" w:hAnsi="Trebuchet MS"/>
                <w:b/>
                <w:bCs/>
                <w:color w:val="0F243E"/>
                <w:sz w:val="20"/>
                <w:szCs w:val="20"/>
                <w:lang w:eastAsia="en-US"/>
              </w:rPr>
              <w:t>+10,3</w:t>
            </w:r>
          </w:p>
        </w:tc>
      </w:tr>
    </w:tbl>
    <w:p w:rsidR="009E3CB7" w:rsidRDefault="009E3CB7" w:rsidP="009E3CB7">
      <w:pPr>
        <w:rPr>
          <w:rFonts w:ascii="Calibri" w:hAnsi="Calibri"/>
          <w:sz w:val="22"/>
          <w:szCs w:val="22"/>
        </w:rPr>
      </w:pPr>
    </w:p>
    <w:p w:rsidR="00C200C3" w:rsidRDefault="00C200C3"/>
    <w:sectPr w:rsidR="00C200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CB7"/>
    <w:rsid w:val="00130235"/>
    <w:rsid w:val="001A3C40"/>
    <w:rsid w:val="002E4C34"/>
    <w:rsid w:val="00370059"/>
    <w:rsid w:val="00424BEE"/>
    <w:rsid w:val="004F322C"/>
    <w:rsid w:val="005F3BF0"/>
    <w:rsid w:val="00632BCB"/>
    <w:rsid w:val="007339EC"/>
    <w:rsid w:val="00754201"/>
    <w:rsid w:val="00873879"/>
    <w:rsid w:val="0094402A"/>
    <w:rsid w:val="009B4EA1"/>
    <w:rsid w:val="009E3CB7"/>
    <w:rsid w:val="00A42182"/>
    <w:rsid w:val="00B35AE5"/>
    <w:rsid w:val="00B90F78"/>
    <w:rsid w:val="00C200C3"/>
    <w:rsid w:val="00C55771"/>
    <w:rsid w:val="00C76E16"/>
    <w:rsid w:val="00D07FAE"/>
    <w:rsid w:val="00D136AC"/>
    <w:rsid w:val="00D709E1"/>
    <w:rsid w:val="00DB5BBF"/>
    <w:rsid w:val="00E612FB"/>
    <w:rsid w:val="00EE7D98"/>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line="276" w:lineRule="auto"/>
        <w:ind w:left="23" w:right="-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E3CB7"/>
    <w:pPr>
      <w:spacing w:line="240" w:lineRule="auto"/>
      <w:ind w:left="0" w:right="0"/>
      <w:jc w:val="left"/>
    </w:pPr>
    <w:rPr>
      <w:rFonts w:ascii="Times New Roman" w:hAnsi="Times New Roman"/>
      <w:bCs w:val="0"/>
      <w:iCs w:val="0"/>
      <w:kern w:val="0"/>
      <w:sz w:val="24"/>
      <w:szCs w:val="24"/>
      <w:lang w:eastAsia="it-IT"/>
    </w:rPr>
  </w:style>
  <w:style w:type="paragraph" w:styleId="Titolo1">
    <w:name w:val="heading 1"/>
    <w:basedOn w:val="Normale"/>
    <w:link w:val="Titolo1Carattere"/>
    <w:uiPriority w:val="9"/>
    <w:qFormat/>
    <w:rsid w:val="00130235"/>
    <w:pPr>
      <w:keepNext/>
      <w:spacing w:before="240" w:after="60"/>
      <w:ind w:left="480" w:right="34"/>
      <w:jc w:val="both"/>
      <w:outlineLvl w:val="0"/>
    </w:pPr>
    <w:rPr>
      <w:rFonts w:ascii="Century Gothic" w:hAnsi="Century Gothic" w:cs="Century Gothic"/>
      <w:b/>
      <w:bCs/>
      <w:sz w:val="32"/>
      <w:szCs w:val="32"/>
    </w:rPr>
  </w:style>
  <w:style w:type="paragraph" w:styleId="Titolo2">
    <w:name w:val="heading 2"/>
    <w:basedOn w:val="Normale"/>
    <w:link w:val="Titolo2Carattere"/>
    <w:qFormat/>
    <w:rsid w:val="00130235"/>
    <w:pPr>
      <w:keepNext/>
      <w:spacing w:before="240" w:after="60"/>
      <w:jc w:val="center"/>
      <w:outlineLvl w:val="1"/>
    </w:pPr>
    <w:rPr>
      <w:rFonts w:ascii="Century Gothic" w:hAnsi="Century Gothic" w:cs="Century Gothic"/>
    </w:rPr>
  </w:style>
  <w:style w:type="paragraph" w:styleId="Titolo3">
    <w:name w:val="heading 3"/>
    <w:basedOn w:val="Normale"/>
    <w:link w:val="Titolo3Carattere"/>
    <w:uiPriority w:val="9"/>
    <w:qFormat/>
    <w:rsid w:val="00130235"/>
    <w:pPr>
      <w:keepNext/>
      <w:spacing w:before="240" w:after="60"/>
      <w:jc w:val="both"/>
      <w:outlineLvl w:val="2"/>
    </w:pPr>
    <w:rPr>
      <w:rFonts w:ascii="Century Gothic" w:hAnsi="Century Gothic" w:cs="Century Gothic"/>
      <w:b/>
      <w:bCs/>
    </w:rPr>
  </w:style>
  <w:style w:type="paragraph" w:styleId="Titolo4">
    <w:name w:val="heading 4"/>
    <w:basedOn w:val="Normale"/>
    <w:link w:val="Titolo4Carattere"/>
    <w:uiPriority w:val="9"/>
    <w:qFormat/>
    <w:rsid w:val="00130235"/>
    <w:pPr>
      <w:keepNext/>
      <w:spacing w:before="240" w:after="60"/>
      <w:jc w:val="both"/>
      <w:outlineLvl w:val="3"/>
    </w:pPr>
    <w:rPr>
      <w:b/>
      <w:bCs/>
      <w:sz w:val="28"/>
      <w:szCs w:val="28"/>
    </w:rPr>
  </w:style>
  <w:style w:type="paragraph" w:styleId="Titolo6">
    <w:name w:val="heading 6"/>
    <w:basedOn w:val="Normale"/>
    <w:link w:val="Titolo6Carattere"/>
    <w:uiPriority w:val="9"/>
    <w:qFormat/>
    <w:rsid w:val="00130235"/>
    <w:pPr>
      <w:spacing w:before="240" w:after="60"/>
      <w:jc w:val="both"/>
      <w:outlineLvl w:val="5"/>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jc w:val="both"/>
    </w:pPr>
    <w:rPr>
      <w:rFonts w:ascii="Century Gothic" w:eastAsia="Times New Roman" w:hAnsi="Century Gothic" w:cs="Century Gothic"/>
      <w:bCs/>
      <w:iCs/>
      <w:kern w:val="36"/>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jc w:val="center"/>
    </w:pPr>
    <w:rPr>
      <w:rFonts w:ascii="Arial" w:hAnsi="Arial" w:cs="Arial"/>
      <w:b/>
      <w:bCs/>
      <w:sz w:val="32"/>
      <w:szCs w:val="32"/>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ind w:left="600"/>
      <w:jc w:val="both"/>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jc w:val="both"/>
    </w:pPr>
    <w:rPr>
      <w:rFonts w:ascii="Century Gothic" w:hAnsi="Century Gothic"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ind w:right="-2"/>
      <w:jc w:val="both"/>
    </w:pPr>
    <w:rPr>
      <w:rFonts w:ascii="Century Gothic" w:hAnsi="Century Gothic"/>
    </w:rPr>
  </w:style>
  <w:style w:type="paragraph" w:styleId="Sommario3">
    <w:name w:val="toc 3"/>
    <w:basedOn w:val="Normale"/>
    <w:autoRedefine/>
    <w:uiPriority w:val="39"/>
    <w:semiHidden/>
    <w:unhideWhenUsed/>
    <w:rsid w:val="00130235"/>
    <w:pPr>
      <w:ind w:left="440"/>
      <w:jc w:val="both"/>
    </w:pPr>
  </w:style>
  <w:style w:type="paragraph" w:styleId="Testonotaapidipagina">
    <w:name w:val="footnote text"/>
    <w:basedOn w:val="Normale"/>
    <w:link w:val="TestonotaapidipaginaCarattere"/>
    <w:uiPriority w:val="99"/>
    <w:semiHidden/>
    <w:unhideWhenUsed/>
    <w:rsid w:val="00130235"/>
    <w:pPr>
      <w:jc w:val="both"/>
    </w:p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jc w:val="both"/>
    </w:p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jc w:val="both"/>
    </w:p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jc w:val="both"/>
    </w:pPr>
    <w:rPr>
      <w:rFonts w:ascii="Century Gothic" w:hAnsi="Century Gothic"/>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jc w:val="both"/>
    </w:pPr>
    <w:rPr>
      <w:rFonts w:ascii="Century Gothic" w:hAnsi="Century Gothic"/>
      <w:color w:val="FF0000"/>
      <w:sz w:val="18"/>
      <w:szCs w:val="18"/>
    </w:rPr>
  </w:style>
  <w:style w:type="paragraph" w:styleId="Testonormale">
    <w:name w:val="Plain Text"/>
    <w:basedOn w:val="Normale"/>
    <w:link w:val="TestonormaleCarattere"/>
    <w:uiPriority w:val="99"/>
    <w:semiHidden/>
    <w:unhideWhenUsed/>
    <w:rsid w:val="00130235"/>
    <w:pPr>
      <w:jc w:val="both"/>
    </w:pPr>
    <w:rPr>
      <w:rFonts w:ascii="Calibri" w:hAnsi="Calibri"/>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jc w:val="both"/>
    </w:pPr>
    <w:rPr>
      <w:rFonts w:ascii="Tahoma" w:hAnsi="Tahoma" w:cs="Tahoma"/>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ind w:left="2160"/>
      <w:jc w:val="both"/>
    </w:pPr>
    <w:rPr>
      <w:rFonts w:ascii="Century Gothic" w:hAnsi="Century Gothic"/>
      <w:color w:val="0F243E"/>
    </w:rPr>
  </w:style>
  <w:style w:type="paragraph" w:styleId="Paragrafoelenco">
    <w:name w:val="List Paragraph"/>
    <w:basedOn w:val="Normale"/>
    <w:uiPriority w:val="34"/>
    <w:qFormat/>
    <w:rsid w:val="00130235"/>
    <w:pPr>
      <w:ind w:left="720"/>
      <w:jc w:val="both"/>
    </w:pPr>
    <w:rPr>
      <w:rFonts w:ascii="Century Gothic" w:hAnsi="Century Gothic"/>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line="276" w:lineRule="auto"/>
        <w:ind w:left="23" w:right="-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E3CB7"/>
    <w:pPr>
      <w:spacing w:line="240" w:lineRule="auto"/>
      <w:ind w:left="0" w:right="0"/>
      <w:jc w:val="left"/>
    </w:pPr>
    <w:rPr>
      <w:rFonts w:ascii="Times New Roman" w:hAnsi="Times New Roman"/>
      <w:bCs w:val="0"/>
      <w:iCs w:val="0"/>
      <w:kern w:val="0"/>
      <w:sz w:val="24"/>
      <w:szCs w:val="24"/>
      <w:lang w:eastAsia="it-IT"/>
    </w:rPr>
  </w:style>
  <w:style w:type="paragraph" w:styleId="Titolo1">
    <w:name w:val="heading 1"/>
    <w:basedOn w:val="Normale"/>
    <w:link w:val="Titolo1Carattere"/>
    <w:uiPriority w:val="9"/>
    <w:qFormat/>
    <w:rsid w:val="00130235"/>
    <w:pPr>
      <w:keepNext/>
      <w:spacing w:before="240" w:after="60"/>
      <w:ind w:left="480" w:right="34"/>
      <w:jc w:val="both"/>
      <w:outlineLvl w:val="0"/>
    </w:pPr>
    <w:rPr>
      <w:rFonts w:ascii="Century Gothic" w:hAnsi="Century Gothic" w:cs="Century Gothic"/>
      <w:b/>
      <w:bCs/>
      <w:sz w:val="32"/>
      <w:szCs w:val="32"/>
    </w:rPr>
  </w:style>
  <w:style w:type="paragraph" w:styleId="Titolo2">
    <w:name w:val="heading 2"/>
    <w:basedOn w:val="Normale"/>
    <w:link w:val="Titolo2Carattere"/>
    <w:qFormat/>
    <w:rsid w:val="00130235"/>
    <w:pPr>
      <w:keepNext/>
      <w:spacing w:before="240" w:after="60"/>
      <w:jc w:val="center"/>
      <w:outlineLvl w:val="1"/>
    </w:pPr>
    <w:rPr>
      <w:rFonts w:ascii="Century Gothic" w:hAnsi="Century Gothic" w:cs="Century Gothic"/>
    </w:rPr>
  </w:style>
  <w:style w:type="paragraph" w:styleId="Titolo3">
    <w:name w:val="heading 3"/>
    <w:basedOn w:val="Normale"/>
    <w:link w:val="Titolo3Carattere"/>
    <w:uiPriority w:val="9"/>
    <w:qFormat/>
    <w:rsid w:val="00130235"/>
    <w:pPr>
      <w:keepNext/>
      <w:spacing w:before="240" w:after="60"/>
      <w:jc w:val="both"/>
      <w:outlineLvl w:val="2"/>
    </w:pPr>
    <w:rPr>
      <w:rFonts w:ascii="Century Gothic" w:hAnsi="Century Gothic" w:cs="Century Gothic"/>
      <w:b/>
      <w:bCs/>
    </w:rPr>
  </w:style>
  <w:style w:type="paragraph" w:styleId="Titolo4">
    <w:name w:val="heading 4"/>
    <w:basedOn w:val="Normale"/>
    <w:link w:val="Titolo4Carattere"/>
    <w:uiPriority w:val="9"/>
    <w:qFormat/>
    <w:rsid w:val="00130235"/>
    <w:pPr>
      <w:keepNext/>
      <w:spacing w:before="240" w:after="60"/>
      <w:jc w:val="both"/>
      <w:outlineLvl w:val="3"/>
    </w:pPr>
    <w:rPr>
      <w:b/>
      <w:bCs/>
      <w:sz w:val="28"/>
      <w:szCs w:val="28"/>
    </w:rPr>
  </w:style>
  <w:style w:type="paragraph" w:styleId="Titolo6">
    <w:name w:val="heading 6"/>
    <w:basedOn w:val="Normale"/>
    <w:link w:val="Titolo6Carattere"/>
    <w:uiPriority w:val="9"/>
    <w:qFormat/>
    <w:rsid w:val="00130235"/>
    <w:pPr>
      <w:spacing w:before="240" w:after="60"/>
      <w:jc w:val="both"/>
      <w:outlineLvl w:val="5"/>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jc w:val="both"/>
    </w:pPr>
    <w:rPr>
      <w:rFonts w:ascii="Century Gothic" w:eastAsia="Times New Roman" w:hAnsi="Century Gothic" w:cs="Century Gothic"/>
      <w:bCs/>
      <w:iCs/>
      <w:kern w:val="36"/>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jc w:val="center"/>
    </w:pPr>
    <w:rPr>
      <w:rFonts w:ascii="Arial" w:hAnsi="Arial" w:cs="Arial"/>
      <w:b/>
      <w:bCs/>
      <w:sz w:val="32"/>
      <w:szCs w:val="32"/>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ind w:left="600"/>
      <w:jc w:val="both"/>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jc w:val="both"/>
    </w:pPr>
    <w:rPr>
      <w:rFonts w:ascii="Century Gothic" w:hAnsi="Century Gothic"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ind w:right="-2"/>
      <w:jc w:val="both"/>
    </w:pPr>
    <w:rPr>
      <w:rFonts w:ascii="Century Gothic" w:hAnsi="Century Gothic"/>
    </w:rPr>
  </w:style>
  <w:style w:type="paragraph" w:styleId="Sommario3">
    <w:name w:val="toc 3"/>
    <w:basedOn w:val="Normale"/>
    <w:autoRedefine/>
    <w:uiPriority w:val="39"/>
    <w:semiHidden/>
    <w:unhideWhenUsed/>
    <w:rsid w:val="00130235"/>
    <w:pPr>
      <w:ind w:left="440"/>
      <w:jc w:val="both"/>
    </w:pPr>
  </w:style>
  <w:style w:type="paragraph" w:styleId="Testonotaapidipagina">
    <w:name w:val="footnote text"/>
    <w:basedOn w:val="Normale"/>
    <w:link w:val="TestonotaapidipaginaCarattere"/>
    <w:uiPriority w:val="99"/>
    <w:semiHidden/>
    <w:unhideWhenUsed/>
    <w:rsid w:val="00130235"/>
    <w:pPr>
      <w:jc w:val="both"/>
    </w:p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jc w:val="both"/>
    </w:p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jc w:val="both"/>
    </w:p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jc w:val="both"/>
    </w:pPr>
    <w:rPr>
      <w:rFonts w:ascii="Century Gothic" w:hAnsi="Century Gothic"/>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jc w:val="both"/>
    </w:pPr>
    <w:rPr>
      <w:rFonts w:ascii="Century Gothic" w:hAnsi="Century Gothic"/>
      <w:color w:val="FF0000"/>
      <w:sz w:val="18"/>
      <w:szCs w:val="18"/>
    </w:rPr>
  </w:style>
  <w:style w:type="paragraph" w:styleId="Testonormale">
    <w:name w:val="Plain Text"/>
    <w:basedOn w:val="Normale"/>
    <w:link w:val="TestonormaleCarattere"/>
    <w:uiPriority w:val="99"/>
    <w:semiHidden/>
    <w:unhideWhenUsed/>
    <w:rsid w:val="00130235"/>
    <w:pPr>
      <w:jc w:val="both"/>
    </w:pPr>
    <w:rPr>
      <w:rFonts w:ascii="Calibri" w:hAnsi="Calibri"/>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jc w:val="both"/>
    </w:pPr>
    <w:rPr>
      <w:rFonts w:ascii="Tahoma" w:hAnsi="Tahoma" w:cs="Tahoma"/>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ind w:left="2160"/>
      <w:jc w:val="both"/>
    </w:pPr>
    <w:rPr>
      <w:rFonts w:ascii="Century Gothic" w:hAnsi="Century Gothic"/>
      <w:color w:val="0F243E"/>
    </w:rPr>
  </w:style>
  <w:style w:type="paragraph" w:styleId="Paragrafoelenco">
    <w:name w:val="List Paragraph"/>
    <w:basedOn w:val="Normale"/>
    <w:uiPriority w:val="34"/>
    <w:qFormat/>
    <w:rsid w:val="00130235"/>
    <w:pPr>
      <w:ind w:left="720"/>
      <w:jc w:val="both"/>
    </w:pPr>
    <w:rPr>
      <w:rFonts w:ascii="Century Gothic" w:hAnsi="Century Gothi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535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CA58C-76DD-488E-9AC0-D04ED3D3B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1020</Words>
  <Characters>5815</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1</cp:revision>
  <dcterms:created xsi:type="dcterms:W3CDTF">2013-11-30T10:50:00Z</dcterms:created>
  <dcterms:modified xsi:type="dcterms:W3CDTF">2013-11-30T10:53:00Z</dcterms:modified>
</cp:coreProperties>
</file>