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275" w:rsidRDefault="008D1275" w:rsidP="008D1275">
      <w:pPr>
        <w:ind w:left="426" w:right="566"/>
        <w:jc w:val="center"/>
      </w:pPr>
    </w:p>
    <w:p w:rsidR="008D1275" w:rsidRDefault="008D1275" w:rsidP="008D1275">
      <w:pPr>
        <w:ind w:left="426" w:right="566"/>
        <w:jc w:val="center"/>
      </w:pPr>
    </w:p>
    <w:p w:rsidR="008D1275" w:rsidRDefault="008D1275" w:rsidP="008D1275">
      <w:pPr>
        <w:ind w:left="426" w:right="566"/>
        <w:jc w:val="center"/>
      </w:pPr>
      <w:r w:rsidRPr="008D1275">
        <w:t>Il PuntO n° 280</w:t>
      </w:r>
    </w:p>
    <w:p w:rsidR="008D1275" w:rsidRPr="008D1275" w:rsidRDefault="008D1275" w:rsidP="008D1275">
      <w:pPr>
        <w:ind w:left="426" w:right="566"/>
        <w:jc w:val="center"/>
      </w:pPr>
    </w:p>
    <w:p w:rsidR="008D1275" w:rsidRPr="008D1275" w:rsidRDefault="008D1275" w:rsidP="008D1275">
      <w:pPr>
        <w:spacing w:line="360" w:lineRule="auto"/>
        <w:ind w:left="426" w:right="566"/>
        <w:jc w:val="center"/>
      </w:pPr>
      <w:r w:rsidRPr="008D1275">
        <w:t>Debito delle Amministrazioni locali.</w:t>
      </w:r>
    </w:p>
    <w:p w:rsidR="008D1275" w:rsidRPr="008D1275" w:rsidRDefault="008D1275" w:rsidP="008D1275">
      <w:pPr>
        <w:spacing w:line="360" w:lineRule="auto"/>
        <w:ind w:left="426" w:right="566"/>
        <w:jc w:val="center"/>
      </w:pPr>
      <w:r w:rsidRPr="008D1275">
        <w:t>Alcune considerazioni sul debito degli “Altri enti”,</w:t>
      </w:r>
    </w:p>
    <w:p w:rsidR="008D1275" w:rsidRPr="008D1275" w:rsidRDefault="008D1275" w:rsidP="008D1275">
      <w:pPr>
        <w:spacing w:line="360" w:lineRule="auto"/>
        <w:ind w:left="426" w:right="566"/>
        <w:jc w:val="center"/>
      </w:pPr>
      <w:r w:rsidRPr="008D1275">
        <w:t>sul peso degli affidamenti bancari e sui derivati sottoscritti.</w:t>
      </w:r>
    </w:p>
    <w:p w:rsidR="008D1275" w:rsidRPr="008D1275" w:rsidRDefault="008D1275" w:rsidP="008D1275">
      <w:pPr>
        <w:spacing w:line="360" w:lineRule="auto"/>
        <w:ind w:left="426" w:right="566"/>
        <w:jc w:val="center"/>
      </w:pPr>
    </w:p>
    <w:p w:rsidR="008D1275" w:rsidRDefault="008D1275" w:rsidP="008D1275">
      <w:pPr>
        <w:ind w:left="426" w:right="566"/>
        <w:jc w:val="center"/>
      </w:pPr>
      <w:r w:rsidRPr="008D1275">
        <w:t>di Mauro Novelli   8-11-2013</w:t>
      </w:r>
    </w:p>
    <w:p w:rsidR="008D1275" w:rsidRPr="008D1275" w:rsidRDefault="008D1275" w:rsidP="008D1275">
      <w:pPr>
        <w:ind w:left="426" w:right="566"/>
        <w:jc w:val="center"/>
      </w:pPr>
    </w:p>
    <w:p w:rsidR="008D1275" w:rsidRDefault="008D1275" w:rsidP="008D1275">
      <w:pPr>
        <w:ind w:left="426" w:right="566"/>
      </w:pPr>
    </w:p>
    <w:p w:rsidR="008D1275" w:rsidRDefault="008D1275" w:rsidP="008D1275">
      <w:pPr>
        <w:ind w:left="426" w:right="566"/>
      </w:pPr>
    </w:p>
    <w:p w:rsidR="008D1275" w:rsidRPr="008D1275" w:rsidRDefault="008D1275" w:rsidP="008D1275">
      <w:pPr>
        <w:ind w:left="426" w:right="566"/>
      </w:pPr>
    </w:p>
    <w:tbl>
      <w:tblPr>
        <w:tblStyle w:val="Grigliatabella"/>
        <w:tblW w:w="0" w:type="auto"/>
        <w:tblLook w:val="04A0" w:firstRow="1" w:lastRow="0" w:firstColumn="1" w:lastColumn="0" w:noHBand="0" w:noVBand="1"/>
      </w:tblPr>
      <w:tblGrid>
        <w:gridCol w:w="2813"/>
        <w:gridCol w:w="222"/>
        <w:gridCol w:w="2896"/>
        <w:gridCol w:w="222"/>
        <w:gridCol w:w="3701"/>
      </w:tblGrid>
      <w:tr w:rsidR="008D1275" w:rsidRPr="008D1275" w:rsidTr="0042597D">
        <w:tc>
          <w:tcPr>
            <w:tcW w:w="0" w:type="auto"/>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8D1275" w:rsidRPr="008D1275" w:rsidRDefault="008D1275" w:rsidP="008D1275">
            <w:pPr>
              <w:ind w:left="426" w:right="566"/>
              <w:rPr>
                <w:sz w:val="18"/>
              </w:rPr>
            </w:pPr>
          </w:p>
          <w:p w:rsidR="008D1275" w:rsidRPr="008D1275" w:rsidRDefault="008D1275" w:rsidP="008D1275">
            <w:pPr>
              <w:ind w:left="426" w:right="566"/>
              <w:rPr>
                <w:sz w:val="18"/>
              </w:rPr>
            </w:pPr>
            <w:r w:rsidRPr="008D1275">
              <w:rPr>
                <w:sz w:val="18"/>
              </w:rPr>
              <w:t>A) Dal 2006, raddoppiato il debito degli enti produttori di servizi sanitari</w:t>
            </w:r>
          </w:p>
        </w:tc>
        <w:tc>
          <w:tcPr>
            <w:tcW w:w="0" w:type="auto"/>
            <w:tcBorders>
              <w:top w:val="single" w:sz="4" w:space="0" w:color="FFFFFF" w:themeColor="background1"/>
              <w:left w:val="single" w:sz="4" w:space="0" w:color="000000"/>
              <w:bottom w:val="single" w:sz="4" w:space="0" w:color="FFFFFF" w:themeColor="background1"/>
              <w:right w:val="single" w:sz="4" w:space="0" w:color="000000"/>
            </w:tcBorders>
          </w:tcPr>
          <w:p w:rsidR="008D1275" w:rsidRPr="008D1275" w:rsidRDefault="008D1275" w:rsidP="008D1275">
            <w:pPr>
              <w:ind w:left="426" w:right="566"/>
              <w:rPr>
                <w:sz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8D1275" w:rsidRPr="008D1275" w:rsidRDefault="008D1275" w:rsidP="008D1275">
            <w:pPr>
              <w:ind w:left="426" w:right="566"/>
              <w:rPr>
                <w:sz w:val="18"/>
              </w:rPr>
            </w:pPr>
          </w:p>
          <w:p w:rsidR="008D1275" w:rsidRPr="008D1275" w:rsidRDefault="008D1275" w:rsidP="008D1275">
            <w:pPr>
              <w:ind w:left="426" w:right="566"/>
              <w:rPr>
                <w:sz w:val="18"/>
              </w:rPr>
            </w:pPr>
            <w:r w:rsidRPr="008D1275">
              <w:rPr>
                <w:sz w:val="18"/>
              </w:rPr>
              <w:t>B) Senza contare la Cassa D&amp;P, oltre il 30% del debito locale è costituito da prestiti bancari.</w:t>
            </w:r>
          </w:p>
        </w:tc>
        <w:tc>
          <w:tcPr>
            <w:tcW w:w="0" w:type="auto"/>
            <w:tcBorders>
              <w:top w:val="single" w:sz="4" w:space="0" w:color="FFFFFF" w:themeColor="background1"/>
              <w:left w:val="single" w:sz="4" w:space="0" w:color="000000"/>
              <w:bottom w:val="single" w:sz="4" w:space="0" w:color="FFFFFF" w:themeColor="background1"/>
              <w:right w:val="single" w:sz="4" w:space="0" w:color="000000"/>
            </w:tcBorders>
          </w:tcPr>
          <w:p w:rsidR="008D1275" w:rsidRPr="008D1275" w:rsidRDefault="008D1275" w:rsidP="008D1275">
            <w:pPr>
              <w:ind w:left="426" w:right="566"/>
              <w:rPr>
                <w:sz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8D1275" w:rsidRPr="008D1275" w:rsidRDefault="008D1275" w:rsidP="008D1275">
            <w:pPr>
              <w:ind w:left="426" w:right="566"/>
              <w:rPr>
                <w:sz w:val="18"/>
              </w:rPr>
            </w:pPr>
          </w:p>
          <w:p w:rsidR="008D1275" w:rsidRPr="008D1275" w:rsidRDefault="008D1275" w:rsidP="008D1275">
            <w:pPr>
              <w:ind w:left="426" w:right="566"/>
              <w:rPr>
                <w:sz w:val="18"/>
              </w:rPr>
            </w:pPr>
            <w:r w:rsidRPr="008D1275">
              <w:rPr>
                <w:sz w:val="18"/>
              </w:rPr>
              <w:t>C) La valorizzazione negativa dei contratti derivati non concorre alla formazione del Debito delle Amministrazioni locali</w:t>
            </w:r>
          </w:p>
        </w:tc>
      </w:tr>
    </w:tbl>
    <w:p w:rsidR="008D1275" w:rsidRPr="008D1275" w:rsidRDefault="008D1275" w:rsidP="008D1275">
      <w:pPr>
        <w:ind w:left="426" w:right="566"/>
      </w:pPr>
    </w:p>
    <w:p w:rsidR="008D1275" w:rsidRDefault="008D1275" w:rsidP="008D1275">
      <w:pPr>
        <w:ind w:left="426" w:right="566"/>
      </w:pPr>
    </w:p>
    <w:p w:rsidR="008D1275" w:rsidRDefault="008D1275" w:rsidP="008D1275">
      <w:pPr>
        <w:ind w:left="426" w:right="566"/>
      </w:pPr>
    </w:p>
    <w:p w:rsid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r w:rsidRPr="008D1275">
        <w:t xml:space="preserve">Dal Suppl.to al Bollettino statistico “Finanza pubblica” di Bankitalia n° 52 del 15-10-2013, veniamo informati che dei 2.060,003 miliardi di debito pubblico (dato di agosto), 111,178 miliardi sono costituiti dal debito delle Amm.ni locali, pari al 5,4 percento del debito totale. </w:t>
      </w:r>
    </w:p>
    <w:p w:rsidR="008D1275" w:rsidRPr="008D1275" w:rsidRDefault="008D1275" w:rsidP="008D1275">
      <w:pPr>
        <w:ind w:left="426" w:right="566"/>
      </w:pPr>
      <w:r w:rsidRPr="008D1275">
        <w:t>La voce è in calo. Infatti, a giugno 2013 il debito locale era pari a 113,961 miliardi di euro, con questa ripartizione geografica: Nord 48,234 mld; Centro 30,870 mld; Meridione 34,857 mld.</w:t>
      </w:r>
    </w:p>
    <w:p w:rsidR="008D1275" w:rsidRPr="008D1275" w:rsidRDefault="008D1275" w:rsidP="008D1275">
      <w:pPr>
        <w:ind w:left="426" w:right="566"/>
      </w:pPr>
      <w:r w:rsidRPr="008D1275">
        <w:t>[Tabella Bankitalia ripartizione per regioni e per strumenti, in calce.]</w:t>
      </w:r>
    </w:p>
    <w:p w:rsidR="008D1275" w:rsidRPr="008D1275" w:rsidRDefault="008D1275" w:rsidP="008D1275">
      <w:pPr>
        <w:ind w:left="426" w:right="566"/>
      </w:pPr>
      <w:r w:rsidRPr="008D1275">
        <w:t>Sempre nel 2013, in termini di strumenti, il debito delle amministrazioni locali era così articolato: 79,397 mld tramite prestiti da banche (residenti e non) e da Cassa D&amp;P; 23,903 mld da titoli (emessi in Italia e all’estero); 10,662 da altri strumenti.</w:t>
      </w:r>
    </w:p>
    <w:p w:rsidR="008D1275" w:rsidRPr="008D1275" w:rsidRDefault="008D1275" w:rsidP="008D1275">
      <w:pPr>
        <w:ind w:left="426" w:right="566"/>
      </w:pPr>
      <w:r w:rsidRPr="008D1275">
        <w:t>Nella voce Debito delle amministrazioni locali è compreso il debito imputabile alle Regioni, alle Province, ai Comuni e ad “Altri enti”.</w:t>
      </w:r>
    </w:p>
    <w:p w:rsid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p>
    <w:p w:rsidR="008D1275" w:rsidRDefault="008D1275" w:rsidP="008D1275">
      <w:pPr>
        <w:numPr>
          <w:ilvl w:val="0"/>
          <w:numId w:val="2"/>
        </w:numPr>
        <w:ind w:left="426" w:right="566"/>
      </w:pPr>
      <w:r w:rsidRPr="008D1275">
        <w:rPr>
          <w:b/>
        </w:rPr>
        <w:t>IL DEBITO DEGLI “ALTRI ENTI” (</w:t>
      </w:r>
      <w:r w:rsidRPr="008D1275">
        <w:t>COMPARTI</w:t>
      </w:r>
      <w:r w:rsidRPr="008D1275">
        <w:rPr>
          <w:b/>
        </w:rPr>
        <w:t>).</w:t>
      </w:r>
      <w:r w:rsidRPr="008D1275">
        <w:t xml:space="preserve"> Raddoppiato in 7 anni.</w:t>
      </w:r>
    </w:p>
    <w:p w:rsidR="008D1275" w:rsidRPr="008D1275" w:rsidRDefault="008D1275" w:rsidP="008D1275">
      <w:pPr>
        <w:ind w:left="426" w:right="566"/>
      </w:pPr>
    </w:p>
    <w:p w:rsidR="008D1275" w:rsidRPr="008D1275" w:rsidRDefault="008D1275" w:rsidP="008D1275">
      <w:pPr>
        <w:ind w:left="426" w:right="566"/>
      </w:pPr>
      <w:r w:rsidRPr="008D1275">
        <w:t xml:space="preserve">Secondo le specifiche di Bankitalia, la voce “Altri enti”  comprende  prevalentemente entità produttrici di servizi sanitari. In altri termini si tratta </w:t>
      </w:r>
      <w:r w:rsidRPr="008D1275">
        <w:lastRenderedPageBreak/>
        <w:t>di aziende sanitarie locali, aziende ospedaliere, policlinici e istituti di ricovero e cura a carattere scientifico.</w:t>
      </w:r>
    </w:p>
    <w:p w:rsidR="008D1275" w:rsidRPr="008D1275" w:rsidRDefault="008D1275" w:rsidP="008D1275">
      <w:pPr>
        <w:ind w:left="426" w:right="566"/>
      </w:pPr>
      <w:r w:rsidRPr="008D1275">
        <w:t xml:space="preserve">I dati forniti dai supplementi pubblicati da Bankitalia, ci permettono la comparazione del debito locale relativa a giugno di ogni anno. </w:t>
      </w:r>
    </w:p>
    <w:p w:rsidR="008D1275" w:rsidRPr="008D1275" w:rsidRDefault="008D1275" w:rsidP="008D1275">
      <w:pPr>
        <w:ind w:left="426" w:right="566"/>
      </w:pPr>
      <w:r w:rsidRPr="008D1275">
        <w:t>Ne abbiamo valutato l’andamento negli anni della crisi, dal 2006 al 2013</w:t>
      </w:r>
    </w:p>
    <w:p w:rsidR="008D1275" w:rsidRDefault="008D1275" w:rsidP="008D1275">
      <w:pPr>
        <w:ind w:left="426" w:right="566"/>
        <w:jc w:val="center"/>
        <w:rPr>
          <w:b/>
          <w:sz w:val="20"/>
        </w:rPr>
      </w:pPr>
    </w:p>
    <w:p w:rsidR="008D1275" w:rsidRDefault="008D1275" w:rsidP="008D1275">
      <w:pPr>
        <w:ind w:left="426" w:right="566"/>
        <w:jc w:val="center"/>
        <w:rPr>
          <w:b/>
          <w:sz w:val="20"/>
        </w:rPr>
      </w:pPr>
    </w:p>
    <w:p w:rsidR="008D1275" w:rsidRDefault="008D1275" w:rsidP="008D1275">
      <w:pPr>
        <w:ind w:left="426" w:right="566"/>
        <w:jc w:val="center"/>
        <w:rPr>
          <w:b/>
          <w:sz w:val="20"/>
        </w:rPr>
      </w:pPr>
    </w:p>
    <w:p w:rsidR="008D1275" w:rsidRPr="008D1275" w:rsidRDefault="008D1275" w:rsidP="008D1275">
      <w:pPr>
        <w:ind w:left="426" w:right="566"/>
        <w:jc w:val="center"/>
        <w:rPr>
          <w:b/>
          <w:sz w:val="20"/>
        </w:rPr>
      </w:pPr>
      <w:r w:rsidRPr="008D1275">
        <w:rPr>
          <w:b/>
          <w:sz w:val="20"/>
        </w:rPr>
        <w:t>TAB. 1 - Debito degli enti locali dal 2006 al 2013 per comparti</w:t>
      </w:r>
    </w:p>
    <w:p w:rsidR="008D1275" w:rsidRPr="008D1275" w:rsidRDefault="008D1275" w:rsidP="008D1275">
      <w:pPr>
        <w:ind w:left="426" w:right="566"/>
        <w:jc w:val="center"/>
        <w:rPr>
          <w:sz w:val="20"/>
        </w:rPr>
      </w:pPr>
      <w:r w:rsidRPr="008D1275">
        <w:rPr>
          <w:sz w:val="20"/>
        </w:rPr>
        <w:t xml:space="preserve">Fonte Bankitalia. </w:t>
      </w:r>
      <w:proofErr w:type="spellStart"/>
      <w:r w:rsidRPr="008D1275">
        <w:rPr>
          <w:sz w:val="20"/>
        </w:rPr>
        <w:t>Suppl.nto</w:t>
      </w:r>
      <w:proofErr w:type="spellEnd"/>
      <w:r w:rsidRPr="008D1275">
        <w:rPr>
          <w:sz w:val="20"/>
        </w:rPr>
        <w:t xml:space="preserve"> al Bollettino statistico Debito delle Amministrazioni locali</w:t>
      </w:r>
    </w:p>
    <w:p w:rsidR="008D1275" w:rsidRPr="008D1275" w:rsidRDefault="008D1275" w:rsidP="008D1275">
      <w:pPr>
        <w:ind w:left="426" w:right="566"/>
        <w:jc w:val="center"/>
        <w:rPr>
          <w:sz w:val="20"/>
        </w:rPr>
      </w:pPr>
      <w:r w:rsidRPr="008D1275">
        <w:rPr>
          <w:sz w:val="20"/>
        </w:rPr>
        <w:t>n. 55 – 2013 e precedenti. In mld di euro</w:t>
      </w:r>
    </w:p>
    <w:p w:rsidR="008D1275" w:rsidRPr="008D1275" w:rsidRDefault="008D1275" w:rsidP="008D1275">
      <w:pPr>
        <w:ind w:left="426" w:right="566"/>
      </w:pPr>
    </w:p>
    <w:tbl>
      <w:tblPr>
        <w:tblStyle w:val="Grigliatabella"/>
        <w:tblW w:w="0" w:type="auto"/>
        <w:jc w:val="center"/>
        <w:tblLook w:val="04A0" w:firstRow="1" w:lastRow="0" w:firstColumn="1" w:lastColumn="0" w:noHBand="0" w:noVBand="1"/>
      </w:tblPr>
      <w:tblGrid>
        <w:gridCol w:w="2857"/>
        <w:gridCol w:w="2244"/>
        <w:gridCol w:w="2244"/>
        <w:gridCol w:w="2509"/>
      </w:tblGrid>
      <w:tr w:rsidR="008D1275" w:rsidRPr="008D1275" w:rsidTr="0042597D">
        <w:trPr>
          <w:jc w:val="center"/>
        </w:trPr>
        <w:tc>
          <w:tcPr>
            <w:tcW w:w="0" w:type="auto"/>
            <w:tcBorders>
              <w:top w:val="single" w:sz="4" w:space="0" w:color="000000"/>
              <w:left w:val="single" w:sz="4" w:space="0" w:color="000000"/>
              <w:bottom w:val="single" w:sz="4" w:space="0" w:color="auto"/>
              <w:right w:val="single" w:sz="4" w:space="0" w:color="000000"/>
            </w:tcBorders>
            <w:shd w:val="clear" w:color="auto" w:fill="C2D69B" w:themeFill="accent3" w:themeFillTint="99"/>
          </w:tcPr>
          <w:p w:rsidR="008D1275" w:rsidRPr="008D1275" w:rsidRDefault="008D1275" w:rsidP="008D1275">
            <w:pPr>
              <w:rPr>
                <w:b/>
                <w:sz w:val="20"/>
              </w:rPr>
            </w:pPr>
          </w:p>
        </w:tc>
        <w:tc>
          <w:tcPr>
            <w:tcW w:w="0" w:type="auto"/>
            <w:tcBorders>
              <w:top w:val="single" w:sz="4" w:space="0" w:color="000000"/>
              <w:left w:val="single" w:sz="4" w:space="0" w:color="000000"/>
              <w:bottom w:val="single" w:sz="4" w:space="0" w:color="000000"/>
              <w:right w:val="single" w:sz="4" w:space="0" w:color="auto"/>
            </w:tcBorders>
            <w:shd w:val="clear" w:color="auto" w:fill="C2D69B" w:themeFill="accent3" w:themeFillTint="99"/>
            <w:hideMark/>
          </w:tcPr>
          <w:p w:rsidR="008D1275" w:rsidRPr="008D1275" w:rsidRDefault="008D1275" w:rsidP="008D1275">
            <w:pPr>
              <w:ind w:left="426" w:right="566"/>
              <w:rPr>
                <w:b/>
                <w:sz w:val="20"/>
              </w:rPr>
            </w:pPr>
            <w:r w:rsidRPr="008D1275">
              <w:rPr>
                <w:b/>
                <w:sz w:val="20"/>
              </w:rPr>
              <w:t>GIUGNO 2006</w:t>
            </w:r>
          </w:p>
        </w:tc>
        <w:tc>
          <w:tcPr>
            <w:tcW w:w="0" w:type="auto"/>
            <w:tcBorders>
              <w:top w:val="single" w:sz="4" w:space="0" w:color="000000"/>
              <w:left w:val="single" w:sz="4" w:space="0" w:color="auto"/>
              <w:bottom w:val="single" w:sz="4" w:space="0" w:color="000000"/>
              <w:right w:val="single" w:sz="4" w:space="0" w:color="auto"/>
            </w:tcBorders>
            <w:shd w:val="clear" w:color="auto" w:fill="C2D69B" w:themeFill="accent3" w:themeFillTint="99"/>
            <w:hideMark/>
          </w:tcPr>
          <w:p w:rsidR="008D1275" w:rsidRPr="008D1275" w:rsidRDefault="008D1275" w:rsidP="008D1275">
            <w:pPr>
              <w:ind w:left="426" w:right="566"/>
              <w:rPr>
                <w:b/>
                <w:sz w:val="20"/>
              </w:rPr>
            </w:pPr>
            <w:r w:rsidRPr="008D1275">
              <w:rPr>
                <w:b/>
                <w:sz w:val="20"/>
              </w:rPr>
              <w:t>GIUGNO 2013</w:t>
            </w:r>
          </w:p>
        </w:tc>
        <w:tc>
          <w:tcPr>
            <w:tcW w:w="2381" w:type="dxa"/>
            <w:tcBorders>
              <w:top w:val="single" w:sz="4" w:space="0" w:color="000000"/>
              <w:left w:val="single" w:sz="4" w:space="0" w:color="auto"/>
              <w:bottom w:val="single" w:sz="4" w:space="0" w:color="000000"/>
              <w:right w:val="single" w:sz="4" w:space="0" w:color="000000"/>
            </w:tcBorders>
            <w:shd w:val="clear" w:color="auto" w:fill="C2D69B" w:themeFill="accent3" w:themeFillTint="99"/>
            <w:hideMark/>
          </w:tcPr>
          <w:p w:rsidR="008D1275" w:rsidRPr="008D1275" w:rsidRDefault="008D1275" w:rsidP="008D1275">
            <w:pPr>
              <w:ind w:left="426" w:right="566"/>
              <w:rPr>
                <w:b/>
                <w:sz w:val="20"/>
              </w:rPr>
            </w:pPr>
            <w:r w:rsidRPr="008D1275">
              <w:rPr>
                <w:b/>
                <w:sz w:val="20"/>
              </w:rPr>
              <w:t>VARIAZIONE % 2013/2006</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REGIONI</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37,267</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39,096</w:t>
            </w:r>
          </w:p>
        </w:tc>
        <w:tc>
          <w:tcPr>
            <w:tcW w:w="2381" w:type="dxa"/>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ind w:left="426"/>
              <w:jc w:val="right"/>
              <w:rPr>
                <w:sz w:val="20"/>
              </w:rPr>
            </w:pPr>
            <w:r w:rsidRPr="008D1275">
              <w:rPr>
                <w:sz w:val="20"/>
              </w:rPr>
              <w:t>+ 4,9 %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PROVINCE</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8,285</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8,790</w:t>
            </w:r>
          </w:p>
        </w:tc>
        <w:tc>
          <w:tcPr>
            <w:tcW w:w="2381" w:type="dxa"/>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ind w:left="426"/>
              <w:jc w:val="right"/>
              <w:rPr>
                <w:sz w:val="20"/>
              </w:rPr>
            </w:pPr>
            <w:r w:rsidRPr="008D1275">
              <w:rPr>
                <w:sz w:val="20"/>
              </w:rPr>
              <w:t>+ 6,1 %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COMUNI</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43.389</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48,438</w:t>
            </w:r>
          </w:p>
        </w:tc>
        <w:tc>
          <w:tcPr>
            <w:tcW w:w="2381" w:type="dxa"/>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ind w:left="426"/>
              <w:jc w:val="right"/>
              <w:rPr>
                <w:sz w:val="20"/>
              </w:rPr>
            </w:pPr>
            <w:r w:rsidRPr="008D1275">
              <w:rPr>
                <w:sz w:val="20"/>
              </w:rPr>
              <w:t>+ 11,6 %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 xml:space="preserve">ALTRI ENTI </w:t>
            </w:r>
            <w:r w:rsidRPr="008D1275">
              <w:rPr>
                <w:sz w:val="20"/>
              </w:rPr>
              <w:t>(in prevalenza fornitori di servizi sanitari)</w:t>
            </w:r>
          </w:p>
        </w:tc>
        <w:tc>
          <w:tcPr>
            <w:tcW w:w="0" w:type="auto"/>
            <w:tcBorders>
              <w:top w:val="single" w:sz="4" w:space="0" w:color="000000"/>
              <w:left w:val="single" w:sz="4" w:space="0" w:color="000000"/>
              <w:bottom w:val="single" w:sz="4" w:space="0" w:color="000000"/>
              <w:right w:val="single" w:sz="4" w:space="0" w:color="auto"/>
            </w:tcBorders>
            <w:vAlign w:val="center"/>
            <w:hideMark/>
          </w:tcPr>
          <w:p w:rsidR="008D1275" w:rsidRPr="008D1275" w:rsidRDefault="008D1275" w:rsidP="008D1275">
            <w:pPr>
              <w:ind w:left="426"/>
              <w:jc w:val="right"/>
              <w:rPr>
                <w:b/>
                <w:sz w:val="20"/>
              </w:rPr>
            </w:pPr>
            <w:r w:rsidRPr="008D1275">
              <w:rPr>
                <w:b/>
                <w:sz w:val="20"/>
              </w:rPr>
              <w:t>8,953</w:t>
            </w:r>
          </w:p>
        </w:tc>
        <w:tc>
          <w:tcPr>
            <w:tcW w:w="0" w:type="auto"/>
            <w:tcBorders>
              <w:top w:val="single" w:sz="4" w:space="0" w:color="000000"/>
              <w:left w:val="single" w:sz="4" w:space="0" w:color="auto"/>
              <w:bottom w:val="single" w:sz="4" w:space="0" w:color="000000"/>
              <w:right w:val="single" w:sz="4" w:space="0" w:color="auto"/>
            </w:tcBorders>
            <w:vAlign w:val="center"/>
            <w:hideMark/>
          </w:tcPr>
          <w:p w:rsidR="008D1275" w:rsidRPr="008D1275" w:rsidRDefault="008D1275" w:rsidP="008D1275">
            <w:pPr>
              <w:ind w:left="426"/>
              <w:jc w:val="right"/>
              <w:rPr>
                <w:b/>
                <w:sz w:val="20"/>
              </w:rPr>
            </w:pPr>
            <w:r w:rsidRPr="008D1275">
              <w:rPr>
                <w:b/>
                <w:sz w:val="20"/>
              </w:rPr>
              <w:t>17,637</w:t>
            </w:r>
          </w:p>
        </w:tc>
        <w:tc>
          <w:tcPr>
            <w:tcW w:w="2381" w:type="dxa"/>
            <w:tcBorders>
              <w:top w:val="single" w:sz="4" w:space="0" w:color="000000"/>
              <w:left w:val="single" w:sz="4" w:space="0" w:color="auto"/>
              <w:bottom w:val="single" w:sz="4" w:space="0" w:color="000000"/>
              <w:right w:val="single" w:sz="4" w:space="0" w:color="000000"/>
            </w:tcBorders>
            <w:vAlign w:val="center"/>
            <w:hideMark/>
          </w:tcPr>
          <w:p w:rsidR="008D1275" w:rsidRPr="008D1275" w:rsidRDefault="008D1275" w:rsidP="008D1275">
            <w:pPr>
              <w:ind w:left="426"/>
              <w:jc w:val="right"/>
              <w:rPr>
                <w:b/>
                <w:sz w:val="20"/>
              </w:rPr>
            </w:pPr>
            <w:r w:rsidRPr="008D1275">
              <w:rPr>
                <w:b/>
                <w:sz w:val="20"/>
              </w:rPr>
              <w:t>+ 97,0 %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Totale Debito locale</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ind w:left="426"/>
              <w:jc w:val="right"/>
              <w:rPr>
                <w:b/>
                <w:sz w:val="20"/>
              </w:rPr>
            </w:pPr>
            <w:r w:rsidRPr="008D1275">
              <w:rPr>
                <w:b/>
                <w:sz w:val="20"/>
              </w:rPr>
              <w:t>97,894</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ind w:left="426"/>
              <w:jc w:val="right"/>
              <w:rPr>
                <w:b/>
                <w:sz w:val="20"/>
              </w:rPr>
            </w:pPr>
            <w:r w:rsidRPr="008D1275">
              <w:rPr>
                <w:b/>
                <w:sz w:val="20"/>
              </w:rPr>
              <w:t>113,961</w:t>
            </w:r>
          </w:p>
        </w:tc>
        <w:tc>
          <w:tcPr>
            <w:tcW w:w="2381" w:type="dxa"/>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ind w:left="426"/>
              <w:jc w:val="right"/>
              <w:rPr>
                <w:b/>
                <w:sz w:val="20"/>
              </w:rPr>
            </w:pPr>
            <w:r w:rsidRPr="008D1275">
              <w:rPr>
                <w:b/>
                <w:sz w:val="20"/>
              </w:rPr>
              <w:t>+ 16,4 %</w:t>
            </w:r>
          </w:p>
        </w:tc>
      </w:tr>
      <w:tr w:rsidR="008D1275" w:rsidRPr="008D1275" w:rsidTr="008D1275">
        <w:trPr>
          <w:trHeight w:val="58"/>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sz w:val="20"/>
              </w:rPr>
            </w:pPr>
          </w:p>
        </w:tc>
        <w:tc>
          <w:tcPr>
            <w:tcW w:w="0" w:type="auto"/>
            <w:tcBorders>
              <w:top w:val="single" w:sz="4" w:space="0" w:color="000000"/>
              <w:left w:val="single" w:sz="4" w:space="0" w:color="000000"/>
              <w:bottom w:val="single" w:sz="4" w:space="0" w:color="auto"/>
              <w:right w:val="single" w:sz="4" w:space="0" w:color="auto"/>
            </w:tcBorders>
            <w:vAlign w:val="bottom"/>
          </w:tcPr>
          <w:p w:rsidR="008D1275" w:rsidRPr="008D1275" w:rsidRDefault="008D1275" w:rsidP="008D1275">
            <w:pPr>
              <w:ind w:left="426"/>
              <w:jc w:val="right"/>
              <w:rPr>
                <w:sz w:val="20"/>
              </w:rPr>
            </w:pPr>
          </w:p>
        </w:tc>
        <w:tc>
          <w:tcPr>
            <w:tcW w:w="0" w:type="auto"/>
            <w:tcBorders>
              <w:top w:val="single" w:sz="4" w:space="0" w:color="000000"/>
              <w:left w:val="single" w:sz="4" w:space="0" w:color="auto"/>
              <w:bottom w:val="single" w:sz="4" w:space="0" w:color="auto"/>
              <w:right w:val="single" w:sz="4" w:space="0" w:color="auto"/>
            </w:tcBorders>
            <w:vAlign w:val="bottom"/>
          </w:tcPr>
          <w:p w:rsidR="008D1275" w:rsidRPr="008D1275" w:rsidRDefault="008D1275" w:rsidP="008D1275">
            <w:pPr>
              <w:ind w:left="426"/>
              <w:jc w:val="right"/>
              <w:rPr>
                <w:sz w:val="20"/>
              </w:rPr>
            </w:pPr>
          </w:p>
        </w:tc>
        <w:tc>
          <w:tcPr>
            <w:tcW w:w="2381" w:type="dxa"/>
            <w:tcBorders>
              <w:top w:val="single" w:sz="4" w:space="0" w:color="000000"/>
              <w:left w:val="single" w:sz="4" w:space="0" w:color="auto"/>
              <w:bottom w:val="single" w:sz="4" w:space="0" w:color="auto"/>
              <w:right w:val="single" w:sz="4" w:space="0" w:color="000000"/>
            </w:tcBorders>
            <w:vAlign w:val="bottom"/>
          </w:tcPr>
          <w:p w:rsidR="008D1275" w:rsidRPr="008D1275" w:rsidRDefault="008D1275" w:rsidP="008D1275">
            <w:pPr>
              <w:ind w:left="426"/>
              <w:jc w:val="right"/>
              <w:rPr>
                <w:sz w:val="20"/>
              </w:rPr>
            </w:pPr>
          </w:p>
        </w:tc>
      </w:tr>
      <w:tr w:rsidR="008D1275" w:rsidRPr="008D1275" w:rsidTr="0042597D">
        <w:trPr>
          <w:jc w:val="center"/>
        </w:trPr>
        <w:tc>
          <w:tcPr>
            <w:tcW w:w="0" w:type="auto"/>
            <w:tcBorders>
              <w:top w:val="single" w:sz="4" w:space="0" w:color="auto"/>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Totale Debito pubblico</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1.599,346</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ind w:left="426"/>
              <w:jc w:val="right"/>
              <w:rPr>
                <w:sz w:val="20"/>
              </w:rPr>
            </w:pPr>
            <w:r w:rsidRPr="008D1275">
              <w:rPr>
                <w:sz w:val="20"/>
              </w:rPr>
              <w:t>2.076,182</w:t>
            </w:r>
          </w:p>
        </w:tc>
        <w:tc>
          <w:tcPr>
            <w:tcW w:w="2381" w:type="dxa"/>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ind w:left="426"/>
              <w:jc w:val="right"/>
              <w:rPr>
                <w:sz w:val="20"/>
              </w:rPr>
            </w:pPr>
            <w:r w:rsidRPr="008D1275">
              <w:rPr>
                <w:sz w:val="20"/>
              </w:rPr>
              <w:t>+ 29,8 %</w:t>
            </w:r>
          </w:p>
        </w:tc>
      </w:tr>
      <w:tr w:rsidR="008D1275" w:rsidRPr="008D1275" w:rsidTr="0042597D">
        <w:trPr>
          <w:trHeight w:val="398"/>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Debito locale su Debito pubblico complessivo</w:t>
            </w:r>
          </w:p>
        </w:tc>
        <w:tc>
          <w:tcPr>
            <w:tcW w:w="0" w:type="auto"/>
            <w:tcBorders>
              <w:top w:val="single" w:sz="4" w:space="0" w:color="auto"/>
              <w:left w:val="single" w:sz="4" w:space="0" w:color="000000"/>
              <w:bottom w:val="single" w:sz="4" w:space="0" w:color="auto"/>
              <w:right w:val="single" w:sz="4" w:space="0" w:color="auto"/>
            </w:tcBorders>
            <w:vAlign w:val="center"/>
            <w:hideMark/>
          </w:tcPr>
          <w:p w:rsidR="008D1275" w:rsidRPr="008D1275" w:rsidRDefault="008D1275" w:rsidP="008D1275">
            <w:pPr>
              <w:ind w:left="426"/>
              <w:jc w:val="right"/>
              <w:rPr>
                <w:sz w:val="20"/>
              </w:rPr>
            </w:pPr>
            <w:r w:rsidRPr="008D1275">
              <w:rPr>
                <w:sz w:val="20"/>
              </w:rPr>
              <w:t xml:space="preserve">6,1 % </w:t>
            </w:r>
          </w:p>
        </w:tc>
        <w:tc>
          <w:tcPr>
            <w:tcW w:w="0" w:type="auto"/>
            <w:tcBorders>
              <w:top w:val="single" w:sz="4" w:space="0" w:color="auto"/>
              <w:left w:val="single" w:sz="4" w:space="0" w:color="auto"/>
              <w:bottom w:val="single" w:sz="4" w:space="0" w:color="auto"/>
              <w:right w:val="single" w:sz="4" w:space="0" w:color="auto"/>
            </w:tcBorders>
            <w:vAlign w:val="center"/>
            <w:hideMark/>
          </w:tcPr>
          <w:p w:rsidR="008D1275" w:rsidRPr="008D1275" w:rsidRDefault="008D1275" w:rsidP="008D1275">
            <w:pPr>
              <w:ind w:left="426"/>
              <w:jc w:val="right"/>
              <w:rPr>
                <w:sz w:val="20"/>
              </w:rPr>
            </w:pPr>
            <w:r w:rsidRPr="008D1275">
              <w:rPr>
                <w:sz w:val="20"/>
              </w:rPr>
              <w:t>5,5 %</w:t>
            </w:r>
          </w:p>
        </w:tc>
        <w:tc>
          <w:tcPr>
            <w:tcW w:w="2381" w:type="dxa"/>
            <w:tcBorders>
              <w:top w:val="single" w:sz="4" w:space="0" w:color="auto"/>
              <w:left w:val="single" w:sz="4" w:space="0" w:color="auto"/>
              <w:bottom w:val="single" w:sz="4" w:space="0" w:color="auto"/>
              <w:right w:val="single" w:sz="4" w:space="0" w:color="000000"/>
            </w:tcBorders>
            <w:vAlign w:val="bottom"/>
          </w:tcPr>
          <w:p w:rsidR="008D1275" w:rsidRPr="008D1275" w:rsidRDefault="008D1275" w:rsidP="008D1275">
            <w:pPr>
              <w:ind w:left="426"/>
              <w:jc w:val="right"/>
              <w:rPr>
                <w:sz w:val="20"/>
              </w:rPr>
            </w:pPr>
          </w:p>
        </w:tc>
      </w:tr>
    </w:tbl>
    <w:p w:rsidR="008D1275" w:rsidRP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r w:rsidRPr="008D1275">
        <w:t>Tutte le voci in tabella risultano in crescita rispetto al 2006. Spicca però l’andamento della voce relativa a “Altri enti”: in sette anni (2006-2013)  il debito imputabile a tali enti è praticamente raddoppiato (+97%). Con oltre 17 miliardi risulta quasi il doppio del debito imputato alle province  (8,7 mld), poco meno della metà di quello delle regioni (39 mld), un terzo di quello di tutti i comuni (48,4 mld). La voce merita attenzione.</w:t>
      </w:r>
    </w:p>
    <w:p w:rsid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p>
    <w:p w:rsidR="008D1275" w:rsidRDefault="008D1275" w:rsidP="008D1275">
      <w:pPr>
        <w:numPr>
          <w:ilvl w:val="0"/>
          <w:numId w:val="2"/>
        </w:numPr>
        <w:ind w:left="426" w:right="566"/>
      </w:pPr>
      <w:r w:rsidRPr="008D1275">
        <w:rPr>
          <w:b/>
        </w:rPr>
        <w:t>IL PESO DEI FIDI BANCARI, esclusa CD&amp;P. (</w:t>
      </w:r>
      <w:r w:rsidRPr="008D1275">
        <w:t>STRUMENTI</w:t>
      </w:r>
      <w:r w:rsidRPr="008D1275">
        <w:rPr>
          <w:b/>
        </w:rPr>
        <w:t>).</w:t>
      </w:r>
      <w:r w:rsidRPr="008D1275">
        <w:t xml:space="preserve"> Da anni oltre il 30% del Debito locale.</w:t>
      </w:r>
    </w:p>
    <w:p w:rsidR="008D1275" w:rsidRPr="008D1275" w:rsidRDefault="008D1275" w:rsidP="008D1275">
      <w:pPr>
        <w:ind w:left="426" w:right="566"/>
      </w:pPr>
    </w:p>
    <w:p w:rsidR="008D1275" w:rsidRPr="008D1275" w:rsidRDefault="008D1275" w:rsidP="008D1275">
      <w:pPr>
        <w:ind w:left="426" w:right="566"/>
      </w:pPr>
      <w:r w:rsidRPr="008D1275">
        <w:t xml:space="preserve">Circa gli strumenti utilizzati per provvedere alla composizione del Debito pubblico locale fa </w:t>
      </w:r>
    </w:p>
    <w:p w:rsidR="008D1275" w:rsidRPr="008D1275" w:rsidRDefault="008D1275" w:rsidP="008D1275">
      <w:pPr>
        <w:ind w:left="426" w:right="566"/>
      </w:pPr>
      <w:r w:rsidRPr="008D1275">
        <w:t>riflettere il peso degli affidamenti bancari agli enti locali e agli “altri enti”, attestato oltre il 30 %, (considerate anche le banche non residenti) sebbene in calo rispetto al 35 % del 2006.</w:t>
      </w:r>
    </w:p>
    <w:p w:rsidR="008D1275" w:rsidRPr="008D1275" w:rsidRDefault="008D1275" w:rsidP="008D1275">
      <w:pPr>
        <w:ind w:left="426" w:right="566"/>
      </w:pPr>
      <w:r w:rsidRPr="008D1275">
        <w:t>Nella tabella che segue riportiamo – dal 2006 al 2012 - il peso percentuale di Cassa D&amp;P e del sistema bancario nella gamma degli strumenti per alimentare il debito pubblico:</w:t>
      </w:r>
    </w:p>
    <w:p w:rsidR="008D1275" w:rsidRDefault="008D1275" w:rsidP="008D1275">
      <w:pPr>
        <w:ind w:left="426" w:right="566"/>
      </w:pPr>
    </w:p>
    <w:p w:rsidR="008D1275" w:rsidRPr="008D1275" w:rsidRDefault="008D1275" w:rsidP="008D1275">
      <w:pPr>
        <w:ind w:left="426" w:right="566"/>
      </w:pPr>
    </w:p>
    <w:p w:rsidR="008D1275" w:rsidRDefault="008D1275" w:rsidP="008D1275">
      <w:pPr>
        <w:ind w:left="426" w:right="566"/>
        <w:jc w:val="center"/>
        <w:rPr>
          <w:b/>
          <w:sz w:val="20"/>
        </w:rPr>
      </w:pPr>
    </w:p>
    <w:p w:rsidR="008D1275" w:rsidRPr="008D1275" w:rsidRDefault="008D1275" w:rsidP="008D1275">
      <w:pPr>
        <w:ind w:left="426" w:right="566"/>
        <w:jc w:val="center"/>
        <w:rPr>
          <w:b/>
          <w:sz w:val="20"/>
        </w:rPr>
      </w:pPr>
      <w:r w:rsidRPr="008D1275">
        <w:rPr>
          <w:b/>
          <w:sz w:val="20"/>
        </w:rPr>
        <w:lastRenderedPageBreak/>
        <w:t>TAB. 2 – Anni 2006-2012 Strumenti di alimentazione del Debito locale.</w:t>
      </w:r>
    </w:p>
    <w:p w:rsidR="008D1275" w:rsidRPr="008D1275" w:rsidRDefault="008D1275" w:rsidP="008D1275">
      <w:pPr>
        <w:ind w:left="426" w:right="566"/>
        <w:jc w:val="center"/>
        <w:rPr>
          <w:sz w:val="20"/>
        </w:rPr>
      </w:pPr>
      <w:r w:rsidRPr="008D1275">
        <w:rPr>
          <w:sz w:val="20"/>
        </w:rPr>
        <w:t>Ricorso a  Cassa D&amp;P, al sistema bancario e alla collocazione di titoli (*).</w:t>
      </w:r>
    </w:p>
    <w:p w:rsidR="008D1275" w:rsidRPr="008D1275" w:rsidRDefault="008D1275" w:rsidP="008D1275">
      <w:pPr>
        <w:ind w:left="426" w:right="566"/>
        <w:jc w:val="center"/>
        <w:rPr>
          <w:sz w:val="20"/>
        </w:rPr>
      </w:pPr>
      <w:r w:rsidRPr="008D1275">
        <w:rPr>
          <w:sz w:val="20"/>
        </w:rPr>
        <w:t xml:space="preserve">Fonte Bankitalia. </w:t>
      </w:r>
      <w:proofErr w:type="spellStart"/>
      <w:r w:rsidRPr="008D1275">
        <w:rPr>
          <w:sz w:val="20"/>
        </w:rPr>
        <w:t>Suppl.nto</w:t>
      </w:r>
      <w:proofErr w:type="spellEnd"/>
      <w:r w:rsidRPr="008D1275">
        <w:rPr>
          <w:sz w:val="20"/>
        </w:rPr>
        <w:t xml:space="preserve"> al Bollettino statistico Debito delle Amministrazioni locali</w:t>
      </w:r>
    </w:p>
    <w:p w:rsidR="008D1275" w:rsidRPr="008D1275" w:rsidRDefault="008D1275" w:rsidP="008D1275">
      <w:pPr>
        <w:ind w:left="426" w:right="566"/>
        <w:jc w:val="center"/>
        <w:rPr>
          <w:sz w:val="20"/>
        </w:rPr>
      </w:pPr>
      <w:r w:rsidRPr="008D1275">
        <w:rPr>
          <w:sz w:val="20"/>
        </w:rPr>
        <w:t>n. 55 – 2013 e precedenti. Valori percentuali.</w:t>
      </w:r>
    </w:p>
    <w:p w:rsidR="008D1275" w:rsidRPr="008D1275" w:rsidRDefault="008D1275" w:rsidP="008D1275">
      <w:pPr>
        <w:ind w:left="426" w:right="566"/>
      </w:pPr>
    </w:p>
    <w:tbl>
      <w:tblPr>
        <w:tblStyle w:val="Grigliatabella"/>
        <w:tblW w:w="0" w:type="auto"/>
        <w:jc w:val="center"/>
        <w:tblLook w:val="04A0" w:firstRow="1" w:lastRow="0" w:firstColumn="1" w:lastColumn="0" w:noHBand="0" w:noVBand="1"/>
      </w:tblPr>
      <w:tblGrid>
        <w:gridCol w:w="2854"/>
        <w:gridCol w:w="1407"/>
        <w:gridCol w:w="1005"/>
        <w:gridCol w:w="1005"/>
        <w:gridCol w:w="1674"/>
        <w:gridCol w:w="1909"/>
      </w:tblGrid>
      <w:tr w:rsidR="008D1275" w:rsidRPr="008D1275" w:rsidTr="0042597D">
        <w:trPr>
          <w:jc w:val="center"/>
        </w:trPr>
        <w:tc>
          <w:tcPr>
            <w:tcW w:w="0" w:type="auto"/>
            <w:tcBorders>
              <w:top w:val="single" w:sz="4" w:space="0" w:color="000000"/>
              <w:left w:val="single" w:sz="4" w:space="0" w:color="000000"/>
              <w:bottom w:val="single" w:sz="4" w:space="0" w:color="auto"/>
              <w:right w:val="single" w:sz="4" w:space="0" w:color="000000"/>
            </w:tcBorders>
            <w:shd w:val="clear" w:color="auto" w:fill="C2D69B" w:themeFill="accent3" w:themeFillTint="99"/>
          </w:tcPr>
          <w:p w:rsidR="008D1275" w:rsidRPr="008D1275" w:rsidRDefault="008D1275" w:rsidP="008D1275">
            <w:pPr>
              <w:rPr>
                <w:b/>
                <w:sz w:val="20"/>
              </w:rPr>
            </w:pPr>
          </w:p>
        </w:tc>
        <w:tc>
          <w:tcPr>
            <w:tcW w:w="0" w:type="auto"/>
            <w:tcBorders>
              <w:top w:val="single" w:sz="4" w:space="0" w:color="000000"/>
              <w:left w:val="single" w:sz="4" w:space="0" w:color="000000"/>
              <w:bottom w:val="single" w:sz="4" w:space="0" w:color="000000"/>
              <w:right w:val="single" w:sz="4" w:space="0" w:color="auto"/>
            </w:tcBorders>
            <w:shd w:val="clear" w:color="auto" w:fill="C2D69B" w:themeFill="accent3" w:themeFillTint="99"/>
            <w:hideMark/>
          </w:tcPr>
          <w:p w:rsidR="008D1275" w:rsidRPr="008D1275" w:rsidRDefault="008D1275" w:rsidP="008D1275">
            <w:pPr>
              <w:rPr>
                <w:b/>
                <w:sz w:val="20"/>
              </w:rPr>
            </w:pPr>
            <w:r w:rsidRPr="008D1275">
              <w:rPr>
                <w:b/>
                <w:sz w:val="20"/>
              </w:rPr>
              <w:t>GIUGNO 2006</w:t>
            </w:r>
          </w:p>
        </w:tc>
        <w:tc>
          <w:tcPr>
            <w:tcW w:w="0" w:type="auto"/>
            <w:tcBorders>
              <w:top w:val="single" w:sz="4" w:space="0" w:color="000000"/>
              <w:left w:val="single" w:sz="4" w:space="0" w:color="000000"/>
              <w:bottom w:val="single" w:sz="4" w:space="0" w:color="000000"/>
              <w:right w:val="single" w:sz="4" w:space="0" w:color="auto"/>
            </w:tcBorders>
            <w:shd w:val="clear" w:color="auto" w:fill="C2D69B" w:themeFill="accent3" w:themeFillTint="99"/>
            <w:hideMark/>
          </w:tcPr>
          <w:p w:rsidR="008D1275" w:rsidRPr="008D1275" w:rsidRDefault="008D1275" w:rsidP="008D1275">
            <w:pPr>
              <w:rPr>
                <w:sz w:val="20"/>
              </w:rPr>
            </w:pPr>
            <w:r w:rsidRPr="008D1275">
              <w:rPr>
                <w:sz w:val="20"/>
              </w:rPr>
              <w:t>GIUGNO</w:t>
            </w:r>
          </w:p>
          <w:p w:rsidR="008D1275" w:rsidRPr="008D1275" w:rsidRDefault="008D1275" w:rsidP="008D1275">
            <w:pPr>
              <w:rPr>
                <w:sz w:val="20"/>
              </w:rPr>
            </w:pPr>
            <w:r w:rsidRPr="008D1275">
              <w:rPr>
                <w:sz w:val="20"/>
              </w:rPr>
              <w:t xml:space="preserve"> 2008</w:t>
            </w:r>
          </w:p>
        </w:tc>
        <w:tc>
          <w:tcPr>
            <w:tcW w:w="0" w:type="auto"/>
            <w:tcBorders>
              <w:top w:val="single" w:sz="4" w:space="0" w:color="000000"/>
              <w:left w:val="single" w:sz="4" w:space="0" w:color="000000"/>
              <w:bottom w:val="single" w:sz="4" w:space="0" w:color="000000"/>
              <w:right w:val="single" w:sz="4" w:space="0" w:color="auto"/>
            </w:tcBorders>
            <w:shd w:val="clear" w:color="auto" w:fill="C2D69B" w:themeFill="accent3" w:themeFillTint="99"/>
            <w:hideMark/>
          </w:tcPr>
          <w:p w:rsidR="008D1275" w:rsidRPr="008D1275" w:rsidRDefault="008D1275" w:rsidP="008D1275">
            <w:pPr>
              <w:rPr>
                <w:sz w:val="20"/>
              </w:rPr>
            </w:pPr>
            <w:r w:rsidRPr="008D1275">
              <w:rPr>
                <w:sz w:val="20"/>
              </w:rPr>
              <w:t>GIUGNO</w:t>
            </w:r>
          </w:p>
          <w:p w:rsidR="008D1275" w:rsidRPr="008D1275" w:rsidRDefault="008D1275" w:rsidP="008D1275">
            <w:pPr>
              <w:rPr>
                <w:sz w:val="20"/>
              </w:rPr>
            </w:pPr>
            <w:r w:rsidRPr="008D1275">
              <w:rPr>
                <w:sz w:val="20"/>
              </w:rPr>
              <w:t xml:space="preserve"> 2010</w:t>
            </w:r>
          </w:p>
        </w:tc>
        <w:tc>
          <w:tcPr>
            <w:tcW w:w="0" w:type="auto"/>
            <w:tcBorders>
              <w:top w:val="single" w:sz="4" w:space="0" w:color="000000"/>
              <w:left w:val="single" w:sz="4" w:space="0" w:color="auto"/>
              <w:bottom w:val="single" w:sz="4" w:space="0" w:color="000000"/>
              <w:right w:val="single" w:sz="4" w:space="0" w:color="auto"/>
            </w:tcBorders>
            <w:shd w:val="clear" w:color="auto" w:fill="C2D69B" w:themeFill="accent3" w:themeFillTint="99"/>
            <w:hideMark/>
          </w:tcPr>
          <w:p w:rsidR="008D1275" w:rsidRPr="008D1275" w:rsidRDefault="008D1275" w:rsidP="008D1275">
            <w:pPr>
              <w:rPr>
                <w:b/>
                <w:sz w:val="20"/>
              </w:rPr>
            </w:pPr>
            <w:r w:rsidRPr="008D1275">
              <w:rPr>
                <w:b/>
                <w:sz w:val="20"/>
              </w:rPr>
              <w:t>DICEMBRE 2012</w:t>
            </w:r>
          </w:p>
        </w:tc>
        <w:tc>
          <w:tcPr>
            <w:tcW w:w="0" w:type="auto"/>
            <w:tcBorders>
              <w:top w:val="single" w:sz="4" w:space="0" w:color="000000"/>
              <w:left w:val="single" w:sz="4" w:space="0" w:color="auto"/>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VARIAZIONE</w:t>
            </w:r>
          </w:p>
          <w:p w:rsidR="008D1275" w:rsidRPr="008D1275" w:rsidRDefault="008D1275" w:rsidP="008D1275">
            <w:pPr>
              <w:rPr>
                <w:b/>
                <w:sz w:val="20"/>
              </w:rPr>
            </w:pPr>
            <w:r w:rsidRPr="008D1275">
              <w:rPr>
                <w:b/>
                <w:sz w:val="20"/>
              </w:rPr>
              <w:t>2012/2006  (punti %)</w:t>
            </w:r>
          </w:p>
        </w:tc>
      </w:tr>
      <w:tr w:rsidR="008D1275" w:rsidRPr="008D1275" w:rsidTr="0042597D">
        <w:trPr>
          <w:trHeight w:val="71"/>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vAlign w:val="center"/>
            <w:hideMark/>
          </w:tcPr>
          <w:p w:rsidR="008D1275" w:rsidRPr="008D1275" w:rsidRDefault="008D1275" w:rsidP="008D1275">
            <w:pPr>
              <w:rPr>
                <w:b/>
                <w:sz w:val="20"/>
              </w:rPr>
            </w:pPr>
            <w:r w:rsidRPr="008D1275">
              <w:rPr>
                <w:b/>
                <w:sz w:val="20"/>
              </w:rPr>
              <w:t>CASSA DEPOSITI &amp; PREST.</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26,0</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30,2</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34,4</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37,9</w:t>
            </w:r>
          </w:p>
        </w:tc>
        <w:tc>
          <w:tcPr>
            <w:tcW w:w="0" w:type="auto"/>
            <w:tcBorders>
              <w:top w:val="single" w:sz="4" w:space="0" w:color="000000"/>
              <w:left w:val="single" w:sz="4" w:space="0" w:color="auto"/>
              <w:bottom w:val="single" w:sz="4" w:space="0" w:color="000000"/>
              <w:right w:val="single" w:sz="4" w:space="0" w:color="000000"/>
            </w:tcBorders>
            <w:hideMark/>
          </w:tcPr>
          <w:p w:rsidR="008D1275" w:rsidRPr="008D1275" w:rsidRDefault="008D1275" w:rsidP="008D1275">
            <w:pPr>
              <w:jc w:val="right"/>
              <w:rPr>
                <w:sz w:val="20"/>
              </w:rPr>
            </w:pPr>
            <w:r w:rsidRPr="008D1275">
              <w:rPr>
                <w:sz w:val="20"/>
              </w:rPr>
              <w:t xml:space="preserve">+ 11,9 punti %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vAlign w:val="center"/>
            <w:hideMark/>
          </w:tcPr>
          <w:p w:rsidR="008D1275" w:rsidRPr="008D1275" w:rsidRDefault="008D1275" w:rsidP="008D1275">
            <w:pPr>
              <w:rPr>
                <w:b/>
                <w:sz w:val="20"/>
              </w:rPr>
            </w:pPr>
            <w:r w:rsidRPr="008D1275">
              <w:rPr>
                <w:b/>
                <w:sz w:val="20"/>
              </w:rPr>
              <w:t xml:space="preserve">BANCHE RESIDENTI </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35,0</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31,1</w:t>
            </w:r>
          </w:p>
        </w:tc>
        <w:tc>
          <w:tcPr>
            <w:tcW w:w="0" w:type="auto"/>
            <w:tcBorders>
              <w:top w:val="single" w:sz="4" w:space="0" w:color="000000"/>
              <w:left w:val="single" w:sz="4" w:space="0" w:color="000000"/>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32,8</w:t>
            </w:r>
          </w:p>
        </w:tc>
        <w:tc>
          <w:tcPr>
            <w:tcW w:w="0" w:type="auto"/>
            <w:tcBorders>
              <w:top w:val="single" w:sz="4" w:space="0" w:color="000000"/>
              <w:left w:val="single" w:sz="4" w:space="0" w:color="auto"/>
              <w:bottom w:val="single" w:sz="4" w:space="0" w:color="000000"/>
              <w:right w:val="single" w:sz="4" w:space="0" w:color="auto"/>
            </w:tcBorders>
            <w:vAlign w:val="bottom"/>
            <w:hideMark/>
          </w:tcPr>
          <w:p w:rsidR="008D1275" w:rsidRPr="008D1275" w:rsidRDefault="008D1275" w:rsidP="008D1275">
            <w:pPr>
              <w:jc w:val="right"/>
              <w:rPr>
                <w:sz w:val="20"/>
              </w:rPr>
            </w:pPr>
            <w:r w:rsidRPr="008D1275">
              <w:rPr>
                <w:sz w:val="20"/>
              </w:rPr>
              <w:t>28,4</w:t>
            </w:r>
          </w:p>
        </w:tc>
        <w:tc>
          <w:tcPr>
            <w:tcW w:w="0" w:type="auto"/>
            <w:tcBorders>
              <w:top w:val="single" w:sz="4" w:space="0" w:color="000000"/>
              <w:left w:val="single" w:sz="4" w:space="0" w:color="auto"/>
              <w:bottom w:val="single" w:sz="4" w:space="0" w:color="000000"/>
              <w:right w:val="single" w:sz="4" w:space="0" w:color="000000"/>
            </w:tcBorders>
            <w:vAlign w:val="bottom"/>
            <w:hideMark/>
          </w:tcPr>
          <w:p w:rsidR="008D1275" w:rsidRPr="008D1275" w:rsidRDefault="008D1275" w:rsidP="008D1275">
            <w:pPr>
              <w:jc w:val="right"/>
              <w:rPr>
                <w:sz w:val="20"/>
              </w:rPr>
            </w:pPr>
            <w:r w:rsidRPr="008D1275">
              <w:rPr>
                <w:sz w:val="20"/>
              </w:rPr>
              <w:t>- 6,6 punti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BANCHE NON RESIDENTI</w:t>
            </w:r>
          </w:p>
        </w:tc>
        <w:tc>
          <w:tcPr>
            <w:tcW w:w="0" w:type="auto"/>
            <w:tcBorders>
              <w:top w:val="single" w:sz="4" w:space="0" w:color="000000"/>
              <w:left w:val="single" w:sz="4" w:space="0" w:color="000000"/>
              <w:bottom w:val="single" w:sz="4" w:space="0" w:color="000000"/>
              <w:right w:val="single" w:sz="4" w:space="0" w:color="auto"/>
            </w:tcBorders>
            <w:hideMark/>
          </w:tcPr>
          <w:p w:rsidR="008D1275" w:rsidRPr="008D1275" w:rsidRDefault="008D1275" w:rsidP="008D1275">
            <w:pPr>
              <w:jc w:val="right"/>
              <w:rPr>
                <w:sz w:val="20"/>
              </w:rPr>
            </w:pPr>
            <w:r w:rsidRPr="008D1275">
              <w:rPr>
                <w:sz w:val="20"/>
              </w:rPr>
              <w:t>2,0</w:t>
            </w:r>
          </w:p>
        </w:tc>
        <w:tc>
          <w:tcPr>
            <w:tcW w:w="0" w:type="auto"/>
            <w:tcBorders>
              <w:top w:val="single" w:sz="4" w:space="0" w:color="000000"/>
              <w:left w:val="single" w:sz="4" w:space="0" w:color="000000"/>
              <w:bottom w:val="single" w:sz="4" w:space="0" w:color="000000"/>
              <w:right w:val="single" w:sz="4" w:space="0" w:color="auto"/>
            </w:tcBorders>
            <w:hideMark/>
          </w:tcPr>
          <w:p w:rsidR="008D1275" w:rsidRPr="008D1275" w:rsidRDefault="008D1275" w:rsidP="008D1275">
            <w:pPr>
              <w:jc w:val="right"/>
              <w:rPr>
                <w:sz w:val="20"/>
              </w:rPr>
            </w:pPr>
            <w:r w:rsidRPr="008D1275">
              <w:rPr>
                <w:sz w:val="20"/>
              </w:rPr>
              <w:t>2,1</w:t>
            </w:r>
          </w:p>
        </w:tc>
        <w:tc>
          <w:tcPr>
            <w:tcW w:w="0" w:type="auto"/>
            <w:tcBorders>
              <w:top w:val="single" w:sz="4" w:space="0" w:color="000000"/>
              <w:left w:val="single" w:sz="4" w:space="0" w:color="000000"/>
              <w:bottom w:val="single" w:sz="4" w:space="0" w:color="000000"/>
              <w:right w:val="single" w:sz="4" w:space="0" w:color="auto"/>
            </w:tcBorders>
            <w:hideMark/>
          </w:tcPr>
          <w:p w:rsidR="008D1275" w:rsidRPr="008D1275" w:rsidRDefault="008D1275" w:rsidP="008D1275">
            <w:pPr>
              <w:jc w:val="right"/>
              <w:rPr>
                <w:sz w:val="20"/>
              </w:rPr>
            </w:pPr>
            <w:r w:rsidRPr="008D1275">
              <w:rPr>
                <w:sz w:val="20"/>
              </w:rPr>
              <w:t>2,3</w:t>
            </w:r>
          </w:p>
        </w:tc>
        <w:tc>
          <w:tcPr>
            <w:tcW w:w="0" w:type="auto"/>
            <w:tcBorders>
              <w:top w:val="single" w:sz="4" w:space="0" w:color="000000"/>
              <w:left w:val="single" w:sz="4" w:space="0" w:color="auto"/>
              <w:bottom w:val="single" w:sz="4" w:space="0" w:color="000000"/>
              <w:right w:val="single" w:sz="4" w:space="0" w:color="auto"/>
            </w:tcBorders>
            <w:hideMark/>
          </w:tcPr>
          <w:p w:rsidR="008D1275" w:rsidRPr="008D1275" w:rsidRDefault="008D1275" w:rsidP="008D1275">
            <w:pPr>
              <w:jc w:val="right"/>
              <w:rPr>
                <w:sz w:val="20"/>
              </w:rPr>
            </w:pPr>
            <w:r w:rsidRPr="008D1275">
              <w:rPr>
                <w:sz w:val="20"/>
              </w:rPr>
              <w:t>2,6</w:t>
            </w:r>
          </w:p>
        </w:tc>
        <w:tc>
          <w:tcPr>
            <w:tcW w:w="0" w:type="auto"/>
            <w:tcBorders>
              <w:top w:val="single" w:sz="4" w:space="0" w:color="000000"/>
              <w:left w:val="single" w:sz="4" w:space="0" w:color="auto"/>
              <w:bottom w:val="single" w:sz="4" w:space="0" w:color="000000"/>
              <w:right w:val="single" w:sz="4" w:space="0" w:color="000000"/>
            </w:tcBorders>
            <w:hideMark/>
          </w:tcPr>
          <w:p w:rsidR="008D1275" w:rsidRPr="008D1275" w:rsidRDefault="008D1275" w:rsidP="008D1275">
            <w:pPr>
              <w:jc w:val="right"/>
              <w:rPr>
                <w:sz w:val="20"/>
              </w:rPr>
            </w:pPr>
            <w:r w:rsidRPr="008D1275">
              <w:rPr>
                <w:sz w:val="20"/>
              </w:rPr>
              <w:t>+ 0,6 punti %</w:t>
            </w:r>
          </w:p>
        </w:tc>
      </w:tr>
      <w:tr w:rsidR="008D1275" w:rsidRPr="008D1275" w:rsidTr="0042597D">
        <w:trPr>
          <w:jc w:val="center"/>
        </w:trPr>
        <w:tc>
          <w:tcPr>
            <w:tcW w:w="0" w:type="auto"/>
            <w:tcBorders>
              <w:top w:val="single" w:sz="4" w:space="0" w:color="auto"/>
              <w:left w:val="single" w:sz="4" w:space="0" w:color="000000"/>
              <w:bottom w:val="single" w:sz="4" w:space="0" w:color="auto"/>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 xml:space="preserve">TITOLI </w:t>
            </w:r>
            <w:r w:rsidRPr="008D1275">
              <w:rPr>
                <w:sz w:val="20"/>
              </w:rPr>
              <w:t>(emessi in Italia e all’estero)</w:t>
            </w:r>
          </w:p>
        </w:tc>
        <w:tc>
          <w:tcPr>
            <w:tcW w:w="0" w:type="auto"/>
            <w:tcBorders>
              <w:top w:val="single" w:sz="4" w:space="0" w:color="000000"/>
              <w:left w:val="single" w:sz="4" w:space="0" w:color="000000"/>
              <w:bottom w:val="single" w:sz="4" w:space="0" w:color="000000"/>
              <w:right w:val="single" w:sz="4" w:space="0" w:color="auto"/>
            </w:tcBorders>
            <w:vAlign w:val="center"/>
            <w:hideMark/>
          </w:tcPr>
          <w:p w:rsidR="008D1275" w:rsidRPr="008D1275" w:rsidRDefault="008D1275" w:rsidP="008D1275">
            <w:pPr>
              <w:jc w:val="right"/>
              <w:rPr>
                <w:sz w:val="20"/>
              </w:rPr>
            </w:pPr>
            <w:r w:rsidRPr="008D1275">
              <w:rPr>
                <w:sz w:val="20"/>
              </w:rPr>
              <w:t>31,0</w:t>
            </w:r>
          </w:p>
        </w:tc>
        <w:tc>
          <w:tcPr>
            <w:tcW w:w="0" w:type="auto"/>
            <w:tcBorders>
              <w:top w:val="single" w:sz="4" w:space="0" w:color="000000"/>
              <w:left w:val="single" w:sz="4" w:space="0" w:color="000000"/>
              <w:bottom w:val="single" w:sz="4" w:space="0" w:color="000000"/>
              <w:right w:val="single" w:sz="4" w:space="0" w:color="auto"/>
            </w:tcBorders>
            <w:vAlign w:val="center"/>
          </w:tcPr>
          <w:p w:rsidR="008D1275" w:rsidRPr="008D1275" w:rsidRDefault="008D1275" w:rsidP="008D1275">
            <w:pPr>
              <w:jc w:val="right"/>
              <w:rPr>
                <w:sz w:val="20"/>
              </w:rPr>
            </w:pPr>
          </w:p>
        </w:tc>
        <w:tc>
          <w:tcPr>
            <w:tcW w:w="0" w:type="auto"/>
            <w:tcBorders>
              <w:top w:val="single" w:sz="4" w:space="0" w:color="000000"/>
              <w:left w:val="single" w:sz="4" w:space="0" w:color="000000"/>
              <w:bottom w:val="single" w:sz="4" w:space="0" w:color="000000"/>
              <w:right w:val="single" w:sz="4" w:space="0" w:color="auto"/>
            </w:tcBorders>
            <w:vAlign w:val="center"/>
          </w:tcPr>
          <w:p w:rsidR="008D1275" w:rsidRPr="008D1275" w:rsidRDefault="008D1275" w:rsidP="008D1275">
            <w:pPr>
              <w:jc w:val="right"/>
              <w:rPr>
                <w:sz w:val="20"/>
              </w:rPr>
            </w:pPr>
          </w:p>
        </w:tc>
        <w:tc>
          <w:tcPr>
            <w:tcW w:w="0" w:type="auto"/>
            <w:tcBorders>
              <w:top w:val="single" w:sz="4" w:space="0" w:color="000000"/>
              <w:left w:val="single" w:sz="4" w:space="0" w:color="auto"/>
              <w:bottom w:val="single" w:sz="4" w:space="0" w:color="000000"/>
              <w:right w:val="single" w:sz="4" w:space="0" w:color="auto"/>
            </w:tcBorders>
            <w:vAlign w:val="center"/>
            <w:hideMark/>
          </w:tcPr>
          <w:p w:rsidR="008D1275" w:rsidRPr="008D1275" w:rsidRDefault="008D1275" w:rsidP="008D1275">
            <w:pPr>
              <w:jc w:val="right"/>
              <w:rPr>
                <w:sz w:val="20"/>
              </w:rPr>
            </w:pPr>
            <w:r w:rsidRPr="008D1275">
              <w:rPr>
                <w:sz w:val="20"/>
              </w:rPr>
              <w:t>21,4</w:t>
            </w:r>
          </w:p>
        </w:tc>
        <w:tc>
          <w:tcPr>
            <w:tcW w:w="0" w:type="auto"/>
            <w:tcBorders>
              <w:top w:val="single" w:sz="4" w:space="0" w:color="000000"/>
              <w:left w:val="single" w:sz="4" w:space="0" w:color="auto"/>
              <w:bottom w:val="single" w:sz="4" w:space="0" w:color="000000"/>
              <w:right w:val="single" w:sz="4" w:space="0" w:color="000000"/>
            </w:tcBorders>
            <w:vAlign w:val="center"/>
            <w:hideMark/>
          </w:tcPr>
          <w:p w:rsidR="008D1275" w:rsidRPr="008D1275" w:rsidRDefault="008D1275" w:rsidP="008D1275">
            <w:pPr>
              <w:jc w:val="right"/>
              <w:rPr>
                <w:sz w:val="20"/>
              </w:rPr>
            </w:pPr>
            <w:r w:rsidRPr="008D1275">
              <w:rPr>
                <w:sz w:val="20"/>
              </w:rPr>
              <w:t>- 9,6 punti %</w:t>
            </w:r>
          </w:p>
        </w:tc>
      </w:tr>
    </w:tbl>
    <w:p w:rsidR="008D1275" w:rsidRPr="008D1275" w:rsidRDefault="008D1275" w:rsidP="008D1275">
      <w:pPr>
        <w:ind w:left="426" w:right="566"/>
      </w:pPr>
      <w:r w:rsidRPr="008D1275">
        <w:t xml:space="preserve">   </w:t>
      </w:r>
    </w:p>
    <w:p w:rsidR="008D1275" w:rsidRPr="008D1275" w:rsidRDefault="008D1275" w:rsidP="008D1275">
      <w:pPr>
        <w:ind w:left="426" w:right="566"/>
        <w:rPr>
          <w:sz w:val="20"/>
        </w:rPr>
      </w:pPr>
      <w:r w:rsidRPr="008D1275">
        <w:rPr>
          <w:sz w:val="20"/>
        </w:rPr>
        <w:t xml:space="preserve"> (*) Vanno comprese anche “altre passività”.</w:t>
      </w:r>
    </w:p>
    <w:p w:rsid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r w:rsidRPr="008D1275">
        <w:t>Per il 2006 ed il 2012, riportiamo i grafici di Bankitalia.</w:t>
      </w:r>
    </w:p>
    <w:p w:rsidR="008D1275" w:rsidRPr="008D1275" w:rsidRDefault="008D1275" w:rsidP="008D1275">
      <w:pPr>
        <w:ind w:left="426" w:right="566"/>
      </w:pPr>
    </w:p>
    <w:p w:rsidR="008D1275" w:rsidRDefault="008D1275" w:rsidP="008D1275">
      <w:pPr>
        <w:ind w:left="426" w:right="566"/>
      </w:pPr>
      <w:r w:rsidRPr="008D1275">
        <w:t xml:space="preserve">            </w:t>
      </w:r>
    </w:p>
    <w:p w:rsidR="00CA2ECB" w:rsidRDefault="00CA2ECB" w:rsidP="008D1275">
      <w:pPr>
        <w:ind w:left="426" w:right="566"/>
      </w:pPr>
    </w:p>
    <w:p w:rsidR="008D1275" w:rsidRDefault="008D1275" w:rsidP="008D1275">
      <w:pPr>
        <w:ind w:left="426" w:right="566"/>
      </w:pPr>
      <w:r w:rsidRPr="008D1275">
        <w:t xml:space="preserve">  </w:t>
      </w:r>
    </w:p>
    <w:p w:rsidR="008D1275" w:rsidRDefault="008D1275" w:rsidP="008D1275">
      <w:pPr>
        <w:ind w:left="1418" w:right="566"/>
      </w:pPr>
      <w:r>
        <w:rPr>
          <w:u w:val="single"/>
        </w:rPr>
        <w:t xml:space="preserve">    </w:t>
      </w:r>
      <w:r w:rsidRPr="008D1275">
        <w:rPr>
          <w:u w:val="single"/>
        </w:rPr>
        <w:t>Giugno 2006</w:t>
      </w:r>
      <w:r w:rsidRPr="008D1275">
        <w:t xml:space="preserve">                      </w:t>
      </w:r>
      <w:r>
        <w:t xml:space="preserve">                    </w:t>
      </w:r>
      <w:r w:rsidRPr="008D1275">
        <w:t>Dicembre 2012</w:t>
      </w:r>
    </w:p>
    <w:p w:rsidR="008D1275" w:rsidRPr="008D1275" w:rsidRDefault="008D1275" w:rsidP="008D1275">
      <w:pPr>
        <w:ind w:left="426" w:right="566"/>
        <w:jc w:val="center"/>
      </w:pPr>
      <w:r w:rsidRPr="008D1275">
        <w:rPr>
          <w:noProof/>
        </w:rPr>
        <w:drawing>
          <wp:anchor distT="0" distB="0" distL="114300" distR="114300" simplePos="0" relativeHeight="251658240" behindDoc="0" locked="0" layoutInCell="1" allowOverlap="1" wp14:anchorId="26AD45DC" wp14:editId="605DD187">
            <wp:simplePos x="0" y="0"/>
            <wp:positionH relativeFrom="column">
              <wp:posOffset>-64770</wp:posOffset>
            </wp:positionH>
            <wp:positionV relativeFrom="paragraph">
              <wp:posOffset>66675</wp:posOffset>
            </wp:positionV>
            <wp:extent cx="3017520" cy="2255520"/>
            <wp:effectExtent l="0" t="0" r="0" b="0"/>
            <wp:wrapSquare wrapText="bothSides"/>
            <wp:docPr id="7" name="Immagine 2" descr="2006 per stru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2006 per strumen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7520" cy="2255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1275">
        <w:rPr>
          <w:noProof/>
        </w:rPr>
        <w:drawing>
          <wp:inline distT="0" distB="0" distL="0" distR="0" wp14:anchorId="054F2D57" wp14:editId="498B115C">
            <wp:extent cx="2267479" cy="2225040"/>
            <wp:effectExtent l="0" t="0" r="0" b="3810"/>
            <wp:docPr id="8" name="Immagine 3" descr="Debito loc. per stru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Debito loc. per strumen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7479" cy="2225040"/>
                    </a:xfrm>
                    <a:prstGeom prst="rect">
                      <a:avLst/>
                    </a:prstGeom>
                    <a:noFill/>
                    <a:ln>
                      <a:noFill/>
                    </a:ln>
                  </pic:spPr>
                </pic:pic>
              </a:graphicData>
            </a:graphic>
          </wp:inline>
        </w:drawing>
      </w:r>
    </w:p>
    <w:p w:rsidR="008D1275" w:rsidRPr="008D1275" w:rsidRDefault="008D1275" w:rsidP="008D1275">
      <w:pPr>
        <w:ind w:left="426" w:right="566"/>
      </w:pPr>
      <w:r w:rsidRPr="008D1275">
        <w:t xml:space="preserve">                    </w:t>
      </w:r>
    </w:p>
    <w:p w:rsidR="008D1275" w:rsidRDefault="008D1275" w:rsidP="008D1275">
      <w:pPr>
        <w:ind w:left="426" w:right="566"/>
      </w:pPr>
    </w:p>
    <w:p w:rsidR="008D1275" w:rsidRPr="008D1275" w:rsidRDefault="008D1275" w:rsidP="008D1275">
      <w:pPr>
        <w:ind w:left="426" w:right="566"/>
      </w:pPr>
      <w:r w:rsidRPr="008D1275">
        <w:t>E’ evidente come il ricorso agli affidamenti bancari faccia lievitare gli interessi rispetto a quanto si sarebbe dovuto riconoscere ai sottoscrittori dei  titoli del debito, le cui emissioni sono diminuite di 9,6 punti percentuali negli ultimi 6 anni.</w:t>
      </w:r>
    </w:p>
    <w:p w:rsid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p>
    <w:p w:rsidR="008D1275" w:rsidRPr="008D1275" w:rsidRDefault="008D1275" w:rsidP="008D1275">
      <w:pPr>
        <w:numPr>
          <w:ilvl w:val="0"/>
          <w:numId w:val="2"/>
        </w:numPr>
        <w:ind w:left="426" w:right="566"/>
      </w:pPr>
      <w:r w:rsidRPr="008D1275">
        <w:rPr>
          <w:b/>
        </w:rPr>
        <w:t xml:space="preserve">CONTRATTI DERIVATI. </w:t>
      </w:r>
      <w:r w:rsidRPr="008D1275">
        <w:t>Anche se negativa, la loro valorizzazione (potenziale) di mercato non concorre alla formazione del Debito locale.</w:t>
      </w:r>
    </w:p>
    <w:p w:rsidR="008D1275" w:rsidRDefault="008D1275" w:rsidP="00CA2ECB">
      <w:pPr>
        <w:widowControl w:val="0"/>
        <w:ind w:left="425" w:right="567"/>
        <w:rPr>
          <w:i/>
        </w:rPr>
      </w:pPr>
      <w:r w:rsidRPr="008D1275">
        <w:rPr>
          <w:i/>
        </w:rPr>
        <w:t xml:space="preserve">Informa Bankitalia: A partire dal Supplemento Conti finanziari, n. 57 - 2013 06-11-2013  [successivo al Supplemento oggetto del presente studio. </w:t>
      </w:r>
      <w:proofErr w:type="spellStart"/>
      <w:r w:rsidRPr="008D1275">
        <w:rPr>
          <w:i/>
        </w:rPr>
        <w:t>ndr</w:t>
      </w:r>
      <w:proofErr w:type="spellEnd"/>
      <w:r w:rsidRPr="008D1275">
        <w:rPr>
          <w:i/>
        </w:rPr>
        <w:t xml:space="preserve">]  </w:t>
      </w:r>
      <w:r w:rsidRPr="008D1275">
        <w:rPr>
          <w:i/>
        </w:rPr>
        <w:lastRenderedPageBreak/>
        <w:t>le consistenze in derivati al passivo delle amministrazioni centrali, in passato basate su informazioni relative ai soli intermediari operanti in Italia sono disponibili anche per la parte relativa a banche estere.</w:t>
      </w:r>
    </w:p>
    <w:p w:rsidR="008D1275" w:rsidRPr="008D1275" w:rsidRDefault="008D1275" w:rsidP="008D1275">
      <w:pPr>
        <w:ind w:left="426" w:right="566"/>
        <w:rPr>
          <w:i/>
        </w:rPr>
      </w:pPr>
    </w:p>
    <w:p w:rsidR="008D1275" w:rsidRPr="008D1275" w:rsidRDefault="008D1275" w:rsidP="008D1275">
      <w:pPr>
        <w:ind w:left="426" w:right="566"/>
      </w:pPr>
      <w:r w:rsidRPr="008D1275">
        <w:t>E’ quindi evidente che le rilevazioni riportate da Bankitalia nel Supplemento che stiamo indagando in materia di derivati, sono ancora limitate ai contratti stipulati con banche residenti.</w:t>
      </w:r>
    </w:p>
    <w:p w:rsidR="008D1275" w:rsidRPr="008D1275" w:rsidRDefault="008D1275" w:rsidP="008D1275">
      <w:pPr>
        <w:ind w:left="426" w:right="566"/>
      </w:pPr>
      <w:r w:rsidRPr="008D1275">
        <w:t>A dicembre 2008, erano 474 le Amministrazioni locali che avevano sottoscritto con banche residenti contratti derivati per un valore nozionale pari a 26,963 miliardi. A giugno 2013 , gli enti sottoscrittori sono scesi a 178 per un valore nozionale di 10,784 mld.</w:t>
      </w:r>
    </w:p>
    <w:p w:rsidR="008D1275" w:rsidRPr="008D1275" w:rsidRDefault="008D1275" w:rsidP="008D1275">
      <w:pPr>
        <w:ind w:left="426" w:right="566"/>
      </w:pPr>
      <w:r w:rsidRPr="008D1275">
        <w:t>[Tabella  Bankitalia per regione, in calce]</w:t>
      </w:r>
    </w:p>
    <w:p w:rsidR="008D1275" w:rsidRPr="008D1275" w:rsidRDefault="008D1275" w:rsidP="008D1275">
      <w:pPr>
        <w:ind w:left="426" w:right="566"/>
      </w:pPr>
      <w:r w:rsidRPr="008D1275">
        <w:t xml:space="preserve">Nonostante questa drastica riduzione quantitativa, il valore (potenziale) di mercato risultante è cresciuto. Tale valorizzazione rappresenta l’ esborso (se negativa) o introito (se positiva) che si determinerebbe per l'ente sottoscrittore se il contratto venisse chiuso al momento della rilevazione. Infatti, la valorizzazione risultava negativa (a danno cioè dell’ente) di  1,116 mld di euro a dicembre 2008, passata a 1,364 mld a giugno 2013  (+22,2%). </w:t>
      </w:r>
    </w:p>
    <w:p w:rsidR="008D1275" w:rsidRPr="008D1275" w:rsidRDefault="008D1275" w:rsidP="008D1275">
      <w:pPr>
        <w:ind w:left="426" w:right="566"/>
      </w:pPr>
      <w:r w:rsidRPr="008D1275">
        <w:t>Anche il valore di mercato positivo per il sottoscrittore (negativo per le banche) è aumentato, passando da 89 milioni del 2008 a favore degli enti, ai 96 del 2013 (+9,7%).</w:t>
      </w:r>
    </w:p>
    <w:p w:rsidR="008D1275" w:rsidRPr="008D1275" w:rsidRDefault="008D1275" w:rsidP="008D1275">
      <w:pPr>
        <w:ind w:left="426" w:right="566"/>
      </w:pPr>
      <w:r w:rsidRPr="008D1275">
        <w:t xml:space="preserve">Tale valorizzazione – spiega Bankitalia -  non concorre alla determinazione del debito delle Amministrazioni locali. </w:t>
      </w:r>
    </w:p>
    <w:p w:rsidR="008D1275" w:rsidRDefault="008D1275" w:rsidP="008D1275">
      <w:pPr>
        <w:ind w:left="426" w:right="566"/>
      </w:pPr>
      <w:r w:rsidRPr="008D1275">
        <w:t>In sintesi:</w:t>
      </w:r>
    </w:p>
    <w:p w:rsidR="008D1275" w:rsidRP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jc w:val="center"/>
        <w:rPr>
          <w:b/>
          <w:sz w:val="20"/>
        </w:rPr>
      </w:pPr>
      <w:r w:rsidRPr="008D1275">
        <w:rPr>
          <w:b/>
          <w:sz w:val="20"/>
        </w:rPr>
        <w:t>TAB. 3- CONTRATTI DERIVATI CON BANCHE RESIDENTI,</w:t>
      </w:r>
    </w:p>
    <w:p w:rsidR="008D1275" w:rsidRPr="008D1275" w:rsidRDefault="008D1275" w:rsidP="008D1275">
      <w:pPr>
        <w:ind w:left="426" w:right="566"/>
        <w:jc w:val="center"/>
        <w:rPr>
          <w:b/>
          <w:sz w:val="20"/>
        </w:rPr>
      </w:pPr>
      <w:r w:rsidRPr="008D1275">
        <w:rPr>
          <w:b/>
          <w:sz w:val="20"/>
        </w:rPr>
        <w:t>ENTI SOTTOSCRITTORI, VALORIZZAZIONE. Anni 2008 e 2013</w:t>
      </w:r>
    </w:p>
    <w:p w:rsidR="008D1275" w:rsidRPr="008D1275" w:rsidRDefault="008D1275" w:rsidP="008D1275">
      <w:pPr>
        <w:ind w:left="426" w:right="566"/>
        <w:jc w:val="center"/>
        <w:rPr>
          <w:sz w:val="20"/>
        </w:rPr>
      </w:pPr>
      <w:r w:rsidRPr="008D1275">
        <w:rPr>
          <w:sz w:val="20"/>
        </w:rPr>
        <w:t xml:space="preserve">Fonte Bankitalia. </w:t>
      </w:r>
      <w:proofErr w:type="spellStart"/>
      <w:r w:rsidRPr="008D1275">
        <w:rPr>
          <w:sz w:val="20"/>
        </w:rPr>
        <w:t>Suppl.nto</w:t>
      </w:r>
      <w:proofErr w:type="spellEnd"/>
      <w:r w:rsidRPr="008D1275">
        <w:rPr>
          <w:sz w:val="20"/>
        </w:rPr>
        <w:t xml:space="preserve"> al Bollettino statistico Debito delle Amministrazioni locali</w:t>
      </w:r>
    </w:p>
    <w:p w:rsidR="008D1275" w:rsidRPr="008D1275" w:rsidRDefault="008D1275" w:rsidP="008D1275">
      <w:pPr>
        <w:ind w:left="426" w:right="566"/>
        <w:jc w:val="center"/>
        <w:rPr>
          <w:sz w:val="20"/>
        </w:rPr>
      </w:pPr>
      <w:r w:rsidRPr="008D1275">
        <w:rPr>
          <w:sz w:val="20"/>
        </w:rPr>
        <w:t>n. 55 – 2013.  In miliardi</w:t>
      </w:r>
    </w:p>
    <w:p w:rsidR="008D1275" w:rsidRPr="008D1275" w:rsidRDefault="008D1275" w:rsidP="008D1275">
      <w:pPr>
        <w:ind w:left="426" w:right="566"/>
        <w:jc w:val="center"/>
        <w:rPr>
          <w:sz w:val="20"/>
        </w:rPr>
      </w:pPr>
    </w:p>
    <w:tbl>
      <w:tblPr>
        <w:tblStyle w:val="Grigliatabella"/>
        <w:tblW w:w="0" w:type="auto"/>
        <w:jc w:val="center"/>
        <w:tblLook w:val="04A0" w:firstRow="1" w:lastRow="0" w:firstColumn="1" w:lastColumn="0" w:noHBand="0" w:noVBand="1"/>
      </w:tblPr>
      <w:tblGrid>
        <w:gridCol w:w="3262"/>
        <w:gridCol w:w="2158"/>
        <w:gridCol w:w="2070"/>
        <w:gridCol w:w="2364"/>
      </w:tblGrid>
      <w:tr w:rsidR="008D1275" w:rsidRPr="008D1275" w:rsidTr="0042597D">
        <w:trPr>
          <w:jc w:val="center"/>
        </w:trPr>
        <w:tc>
          <w:tcPr>
            <w:tcW w:w="420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8D1275" w:rsidRPr="008D1275" w:rsidRDefault="008D1275" w:rsidP="008D1275">
            <w:pPr>
              <w:rPr>
                <w:b/>
                <w:sz w:val="20"/>
              </w:rPr>
            </w:pPr>
          </w:p>
        </w:tc>
        <w:tc>
          <w:tcPr>
            <w:tcW w:w="303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Dicembre 2008</w:t>
            </w:r>
          </w:p>
        </w:tc>
        <w:tc>
          <w:tcPr>
            <w:tcW w:w="303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Giugno 2013</w:t>
            </w:r>
          </w:p>
        </w:tc>
        <w:tc>
          <w:tcPr>
            <w:tcW w:w="303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 xml:space="preserve">VARIAZIONE % </w:t>
            </w:r>
          </w:p>
        </w:tc>
      </w:tr>
      <w:tr w:rsidR="008D1275" w:rsidRPr="008D1275" w:rsidTr="0042597D">
        <w:trPr>
          <w:jc w:val="center"/>
        </w:trPr>
        <w:tc>
          <w:tcPr>
            <w:tcW w:w="420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VALORE NOZIONALE</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26,963</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10,784</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- 60,0 %</w:t>
            </w:r>
          </w:p>
        </w:tc>
      </w:tr>
      <w:tr w:rsidR="008D1275" w:rsidRPr="008D1275" w:rsidTr="0042597D">
        <w:trPr>
          <w:jc w:val="center"/>
        </w:trPr>
        <w:tc>
          <w:tcPr>
            <w:tcW w:w="420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VALORIZZAZIONE NEGATIVA</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1,116</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1,364</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+ 22,2 %</w:t>
            </w:r>
          </w:p>
        </w:tc>
      </w:tr>
      <w:tr w:rsidR="008D1275" w:rsidRPr="008D1275" w:rsidTr="0042597D">
        <w:trPr>
          <w:jc w:val="center"/>
        </w:trPr>
        <w:tc>
          <w:tcPr>
            <w:tcW w:w="420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VALORIZZAZIONE POSITIVA</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89</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96</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+ 7,9 %</w:t>
            </w:r>
          </w:p>
        </w:tc>
      </w:tr>
      <w:tr w:rsidR="008D1275" w:rsidRPr="008D1275" w:rsidTr="0042597D">
        <w:trPr>
          <w:jc w:val="center"/>
        </w:trPr>
        <w:tc>
          <w:tcPr>
            <w:tcW w:w="420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8D1275" w:rsidRPr="008D1275" w:rsidRDefault="008D1275" w:rsidP="008D1275">
            <w:pPr>
              <w:rPr>
                <w:b/>
                <w:sz w:val="20"/>
              </w:rPr>
            </w:pPr>
            <w:r w:rsidRPr="008D1275">
              <w:rPr>
                <w:b/>
                <w:sz w:val="20"/>
              </w:rPr>
              <w:t>ENTI SOTTOSCRITTORI</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474</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178</w:t>
            </w:r>
          </w:p>
        </w:tc>
        <w:tc>
          <w:tcPr>
            <w:tcW w:w="3032" w:type="dxa"/>
            <w:tcBorders>
              <w:top w:val="single" w:sz="4" w:space="0" w:color="000000"/>
              <w:left w:val="single" w:sz="4" w:space="0" w:color="000000"/>
              <w:bottom w:val="single" w:sz="4" w:space="0" w:color="000000"/>
              <w:right w:val="single" w:sz="4" w:space="0" w:color="000000"/>
            </w:tcBorders>
            <w:hideMark/>
          </w:tcPr>
          <w:p w:rsidR="008D1275" w:rsidRPr="008D1275" w:rsidRDefault="008D1275" w:rsidP="008D1275">
            <w:pPr>
              <w:jc w:val="right"/>
              <w:rPr>
                <w:sz w:val="20"/>
              </w:rPr>
            </w:pPr>
            <w:r w:rsidRPr="008D1275">
              <w:rPr>
                <w:sz w:val="20"/>
              </w:rPr>
              <w:t>- 62,4 %</w:t>
            </w:r>
          </w:p>
        </w:tc>
      </w:tr>
    </w:tbl>
    <w:p w:rsidR="008D1275" w:rsidRPr="008D1275" w:rsidRDefault="008D1275" w:rsidP="008D1275">
      <w:pPr>
        <w:ind w:left="426" w:right="566"/>
      </w:pPr>
    </w:p>
    <w:p w:rsidR="008D1275" w:rsidRPr="008D1275" w:rsidRDefault="008D1275" w:rsidP="008D1275">
      <w:pPr>
        <w:ind w:left="426" w:right="566"/>
      </w:pPr>
    </w:p>
    <w:p w:rsidR="008D1275" w:rsidRPr="008D1275" w:rsidRDefault="008D1275" w:rsidP="008D1275">
      <w:pPr>
        <w:ind w:left="426" w:right="566"/>
      </w:pPr>
    </w:p>
    <w:p w:rsidR="008D1275" w:rsidRDefault="008D1275" w:rsidP="008D1275">
      <w:pPr>
        <w:spacing w:line="276" w:lineRule="auto"/>
        <w:ind w:left="426" w:right="566"/>
      </w:pPr>
      <w:r>
        <w:br w:type="page"/>
      </w:r>
    </w:p>
    <w:p w:rsidR="008D1275" w:rsidRPr="008D1275" w:rsidRDefault="008D1275" w:rsidP="008D1275">
      <w:pPr>
        <w:ind w:left="426" w:right="566"/>
      </w:pPr>
    </w:p>
    <w:p w:rsidR="008D1275" w:rsidRPr="008D1275" w:rsidRDefault="008D1275" w:rsidP="008D1275">
      <w:pPr>
        <w:ind w:left="426" w:right="566"/>
        <w:rPr>
          <w:b/>
        </w:rPr>
      </w:pPr>
      <w:r w:rsidRPr="008D1275">
        <w:rPr>
          <w:b/>
        </w:rPr>
        <w:t>Documentazione:</w:t>
      </w:r>
    </w:p>
    <w:p w:rsidR="008D1275" w:rsidRPr="008D1275" w:rsidRDefault="008D1275" w:rsidP="008D1275">
      <w:pPr>
        <w:ind w:left="426" w:right="566"/>
      </w:pPr>
    </w:p>
    <w:p w:rsidR="008D1275" w:rsidRDefault="008D1275" w:rsidP="008D1275">
      <w:pPr>
        <w:numPr>
          <w:ilvl w:val="0"/>
          <w:numId w:val="3"/>
        </w:numPr>
        <w:ind w:right="566"/>
      </w:pPr>
      <w:r w:rsidRPr="008D1275">
        <w:t>Debito amm.ni locali per regione. Analisi per strumenti (</w:t>
      </w:r>
      <w:proofErr w:type="spellStart"/>
      <w:r w:rsidRPr="008D1275">
        <w:t>agg</w:t>
      </w:r>
      <w:proofErr w:type="spellEnd"/>
      <w:r w:rsidRPr="008D1275">
        <w:t>. 6-2013)</w:t>
      </w:r>
    </w:p>
    <w:p w:rsidR="00CA2ECB" w:rsidRDefault="00CA2ECB" w:rsidP="00CA2ECB">
      <w:pPr>
        <w:ind w:left="786" w:right="566"/>
      </w:pPr>
      <w:r w:rsidRPr="008D1275">
        <w:t xml:space="preserve">Da </w:t>
      </w:r>
      <w:proofErr w:type="spellStart"/>
      <w:r w:rsidRPr="008D1275">
        <w:t>Suppl.nto</w:t>
      </w:r>
      <w:proofErr w:type="spellEnd"/>
      <w:r w:rsidRPr="008D1275">
        <w:t xml:space="preserve"> al Bollettino statistico </w:t>
      </w:r>
      <w:hyperlink r:id="rId9" w:history="1">
        <w:r w:rsidRPr="008D1275">
          <w:rPr>
            <w:rStyle w:val="Collegamentoipertestuale"/>
            <w:rFonts w:eastAsiaTheme="minorHAnsi"/>
            <w:sz w:val="24"/>
            <w:szCs w:val="24"/>
          </w:rPr>
          <w:t>Debito delle Amministrazioni locali, n. 55 - 2013</w:t>
        </w:r>
      </w:hyperlink>
      <w:r w:rsidRPr="008D1275">
        <w:t xml:space="preserve"> 31-10-2013</w:t>
      </w:r>
    </w:p>
    <w:p w:rsidR="00CA2ECB" w:rsidRPr="008D1275" w:rsidRDefault="00CA2ECB" w:rsidP="00CA2ECB">
      <w:pPr>
        <w:ind w:left="786" w:right="566"/>
      </w:pPr>
    </w:p>
    <w:p w:rsidR="008D1275" w:rsidRPr="008D1275" w:rsidRDefault="008D1275" w:rsidP="008D1275">
      <w:pPr>
        <w:ind w:left="426" w:right="566"/>
      </w:pPr>
      <w:r w:rsidRPr="008D1275">
        <w:rPr>
          <w:noProof/>
        </w:rPr>
        <w:drawing>
          <wp:inline distT="0" distB="0" distL="0" distR="0" wp14:anchorId="7E254E76" wp14:editId="78401088">
            <wp:extent cx="5753100" cy="7170420"/>
            <wp:effectExtent l="0" t="0" r="0" b="0"/>
            <wp:docPr id="9" name="Immagine 9" descr="Debito locale. Strumenti per regi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Debito locale. Strumenti per regio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5199" cy="7173036"/>
                    </a:xfrm>
                    <a:prstGeom prst="rect">
                      <a:avLst/>
                    </a:prstGeom>
                    <a:noFill/>
                    <a:ln>
                      <a:noFill/>
                    </a:ln>
                  </pic:spPr>
                </pic:pic>
              </a:graphicData>
            </a:graphic>
          </wp:inline>
        </w:drawing>
      </w:r>
    </w:p>
    <w:p w:rsidR="008D1275" w:rsidRPr="008D1275" w:rsidRDefault="008D1275" w:rsidP="008D1275">
      <w:pPr>
        <w:ind w:left="426" w:right="566"/>
        <w:rPr>
          <w:b/>
        </w:rPr>
      </w:pPr>
    </w:p>
    <w:p w:rsidR="008D1275" w:rsidRPr="008D1275" w:rsidRDefault="008D1275" w:rsidP="008D1275">
      <w:pPr>
        <w:ind w:left="426" w:right="566"/>
        <w:rPr>
          <w:b/>
        </w:rPr>
      </w:pPr>
    </w:p>
    <w:p w:rsidR="008D1275" w:rsidRPr="008D1275" w:rsidRDefault="008D1275" w:rsidP="008D1275">
      <w:pPr>
        <w:ind w:left="426" w:right="566"/>
        <w:rPr>
          <w:b/>
        </w:rPr>
      </w:pPr>
    </w:p>
    <w:p w:rsidR="008D1275" w:rsidRPr="008D1275" w:rsidRDefault="008D1275" w:rsidP="008D1275">
      <w:pPr>
        <w:numPr>
          <w:ilvl w:val="0"/>
          <w:numId w:val="3"/>
        </w:numPr>
        <w:ind w:right="566"/>
      </w:pPr>
      <w:r w:rsidRPr="008D1275">
        <w:t>Operazioni in Derivati (</w:t>
      </w:r>
      <w:proofErr w:type="spellStart"/>
      <w:r w:rsidRPr="008D1275">
        <w:t>agg</w:t>
      </w:r>
      <w:proofErr w:type="spellEnd"/>
      <w:r w:rsidRPr="008D1275">
        <w:t>. 6-2013)</w:t>
      </w:r>
    </w:p>
    <w:p w:rsidR="008D1275" w:rsidRDefault="008D1275" w:rsidP="008D1275">
      <w:pPr>
        <w:ind w:left="426" w:right="566"/>
      </w:pPr>
      <w:r w:rsidRPr="008D1275">
        <w:t xml:space="preserve">Da </w:t>
      </w:r>
      <w:proofErr w:type="spellStart"/>
      <w:r w:rsidRPr="008D1275">
        <w:t>Suppl.nto</w:t>
      </w:r>
      <w:proofErr w:type="spellEnd"/>
      <w:r w:rsidRPr="008D1275">
        <w:t xml:space="preserve"> al Bollettino statistico </w:t>
      </w:r>
      <w:hyperlink r:id="rId11" w:history="1">
        <w:r w:rsidRPr="008D1275">
          <w:rPr>
            <w:rStyle w:val="Collegamentoipertestuale"/>
            <w:rFonts w:eastAsiaTheme="minorHAnsi"/>
            <w:sz w:val="24"/>
            <w:szCs w:val="24"/>
          </w:rPr>
          <w:t>Debito delle Amministrazioni locali, n. 55 - 2013</w:t>
        </w:r>
      </w:hyperlink>
      <w:r w:rsidRPr="008D1275">
        <w:t xml:space="preserve"> 31-10-2013</w:t>
      </w:r>
    </w:p>
    <w:bookmarkStart w:id="0" w:name="_GoBack"/>
    <w:p w:rsidR="00C200C3" w:rsidRDefault="00135904" w:rsidP="008D1275">
      <w:pPr>
        <w:ind w:left="426" w:right="566"/>
      </w:pPr>
      <w:r w:rsidRPr="008D1275">
        <w:object w:dxaOrig="12684" w:dyaOrig="179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2pt;height:573pt" o:ole="">
            <v:imagedata r:id="rId12" o:title=""/>
          </v:shape>
          <o:OLEObject Type="Embed" ProgID="AcroExch.Document.11" ShapeID="_x0000_i1025" DrawAspect="Content" ObjectID="_1445956680" r:id="rId13"/>
        </w:object>
      </w:r>
      <w:bookmarkEnd w:id="0"/>
    </w:p>
    <w:sectPr w:rsidR="00C200C3" w:rsidSect="008D1275">
      <w:pgSz w:w="11906" w:h="16838"/>
      <w:pgMar w:top="1417" w:right="1134" w:bottom="184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5F649B"/>
    <w:multiLevelType w:val="hybridMultilevel"/>
    <w:tmpl w:val="4770148C"/>
    <w:lvl w:ilvl="0" w:tplc="26562888">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75D417D5"/>
    <w:multiLevelType w:val="hybridMultilevel"/>
    <w:tmpl w:val="1820D0C0"/>
    <w:lvl w:ilvl="0" w:tplc="3C587D94">
      <w:start w:val="1"/>
      <w:numFmt w:val="upp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75"/>
    <w:rsid w:val="00130235"/>
    <w:rsid w:val="00135904"/>
    <w:rsid w:val="001A3C40"/>
    <w:rsid w:val="002E4C34"/>
    <w:rsid w:val="00370059"/>
    <w:rsid w:val="00406054"/>
    <w:rsid w:val="00424BEE"/>
    <w:rsid w:val="004835A9"/>
    <w:rsid w:val="004F322C"/>
    <w:rsid w:val="005F3BF0"/>
    <w:rsid w:val="00632BCB"/>
    <w:rsid w:val="007339EC"/>
    <w:rsid w:val="00754201"/>
    <w:rsid w:val="00873879"/>
    <w:rsid w:val="008D1275"/>
    <w:rsid w:val="0094402A"/>
    <w:rsid w:val="009B4EA1"/>
    <w:rsid w:val="00A42182"/>
    <w:rsid w:val="00B35AE5"/>
    <w:rsid w:val="00B90F78"/>
    <w:rsid w:val="00C200C3"/>
    <w:rsid w:val="00C55771"/>
    <w:rsid w:val="00C76E16"/>
    <w:rsid w:val="00CA2ECB"/>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24BEE"/>
    <w:pPr>
      <w:spacing w:line="240" w:lineRule="auto"/>
      <w:ind w:left="0" w:right="0"/>
    </w:pPr>
    <w:rPr>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ancaditalia.it/statistiche/finpub/pimfpr/sb55_13/suppl_55_13.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www.bancaditalia.it/statistiche/finpub/pimfpr/sb55_13/suppl_55_13.pdf"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91F7B-789F-4C52-88D0-7A0D41EC5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1105</Words>
  <Characters>6305</Characters>
  <Application>Microsoft Office Word</Application>
  <DocSecurity>0</DocSecurity>
  <Lines>52</Lines>
  <Paragraphs>14</Paragraphs>
  <ScaleCrop>false</ScaleCrop>
  <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5</cp:revision>
  <dcterms:created xsi:type="dcterms:W3CDTF">2013-11-14T16:46:00Z</dcterms:created>
  <dcterms:modified xsi:type="dcterms:W3CDTF">2013-11-14T16:52:00Z</dcterms:modified>
</cp:coreProperties>
</file>