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667" w:rsidRPr="00984667" w:rsidRDefault="00984667" w:rsidP="00984667">
      <w:pPr>
        <w:jc w:val="center"/>
      </w:pPr>
      <w:r w:rsidRPr="00984667">
        <w:t>COMUNICATO STAMPA</w:t>
      </w:r>
    </w:p>
    <w:p w:rsidR="003C49C0" w:rsidRDefault="00984667" w:rsidP="00984667">
      <w:pPr>
        <w:pStyle w:val="Nessunaspaziatura"/>
      </w:pPr>
      <w:r w:rsidRPr="00984667">
        <w:t xml:space="preserve">CRISI: LA  </w:t>
      </w:r>
      <w:r w:rsidR="002242C3" w:rsidRPr="00984667">
        <w:t xml:space="preserve">SPECULAZIONE </w:t>
      </w:r>
      <w:r w:rsidRPr="00984667">
        <w:t xml:space="preserve">SUL </w:t>
      </w:r>
      <w:r w:rsidR="002242C3" w:rsidRPr="00984667">
        <w:t>CAMBIO LIRA EURO</w:t>
      </w:r>
      <w:r w:rsidRPr="00984667">
        <w:t>,</w:t>
      </w:r>
      <w:r w:rsidR="002242C3" w:rsidRPr="00984667">
        <w:t xml:space="preserve"> HA TRASFERITO DA TASCHE CONSUMATORI 2</w:t>
      </w:r>
      <w:r>
        <w:t>65</w:t>
      </w:r>
      <w:r w:rsidR="002242C3" w:rsidRPr="00984667">
        <w:t>,</w:t>
      </w:r>
      <w:r>
        <w:t>3</w:t>
      </w:r>
      <w:r w:rsidR="002242C3" w:rsidRPr="00984667">
        <w:t xml:space="preserve"> MLD EURO (1</w:t>
      </w:r>
      <w:r>
        <w:t>1.054</w:t>
      </w:r>
      <w:r w:rsidR="002242C3" w:rsidRPr="00984667">
        <w:t xml:space="preserve"> EURO FAMIGLIA)</w:t>
      </w:r>
      <w:r>
        <w:t xml:space="preserve"> </w:t>
      </w:r>
      <w:r w:rsidR="002242C3" w:rsidRPr="00984667">
        <w:t xml:space="preserve">A FAVORE </w:t>
      </w:r>
      <w:r w:rsidRPr="00984667">
        <w:t xml:space="preserve"> </w:t>
      </w:r>
      <w:r w:rsidR="002242C3" w:rsidRPr="00984667">
        <w:t xml:space="preserve">COLORO CHE HANNO </w:t>
      </w:r>
      <w:r w:rsidRPr="00984667">
        <w:t xml:space="preserve">POTUTO </w:t>
      </w:r>
      <w:r w:rsidR="002242C3" w:rsidRPr="00984667">
        <w:t>DETERMINA</w:t>
      </w:r>
      <w:r w:rsidRPr="00984667">
        <w:t xml:space="preserve">RE </w:t>
      </w:r>
      <w:r w:rsidR="002242C3" w:rsidRPr="00984667">
        <w:t>PREZZI</w:t>
      </w:r>
      <w:r w:rsidRPr="00984667">
        <w:t xml:space="preserve"> E TARIFFE.</w:t>
      </w:r>
      <w:r>
        <w:t xml:space="preserve"> CROLLATA CAPACITA’ DI SPESA </w:t>
      </w:r>
      <w:r w:rsidR="004131BA">
        <w:t xml:space="preserve">DELLE FAMIGLIE ITALIANE, </w:t>
      </w:r>
      <w:r>
        <w:t xml:space="preserve">CHE NEL 2001 ERA TRA LE PIU’ </w:t>
      </w:r>
      <w:r w:rsidR="004131BA">
        <w:t>ALT</w:t>
      </w:r>
      <w:r>
        <w:t xml:space="preserve">E </w:t>
      </w:r>
      <w:r w:rsidR="004131BA">
        <w:t>D’EUROPA.</w:t>
      </w:r>
    </w:p>
    <w:p w:rsidR="004131BA" w:rsidRDefault="004131BA" w:rsidP="00984667">
      <w:pPr>
        <w:pStyle w:val="Nessunaspaziatura"/>
      </w:pPr>
    </w:p>
    <w:p w:rsidR="00BC3416" w:rsidRDefault="00BC3416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L’</w:t>
      </w:r>
      <w:r w:rsidR="002242C3" w:rsidRPr="00984667">
        <w:rPr>
          <w:sz w:val="24"/>
          <w:szCs w:val="24"/>
        </w:rPr>
        <w:t>effetto trascinamento d</w:t>
      </w:r>
      <w:r>
        <w:rPr>
          <w:sz w:val="24"/>
          <w:szCs w:val="24"/>
        </w:rPr>
        <w:t>e</w:t>
      </w:r>
      <w:r w:rsidR="002242C3" w:rsidRPr="00984667">
        <w:rPr>
          <w:sz w:val="24"/>
          <w:szCs w:val="24"/>
        </w:rPr>
        <w:t xml:space="preserve">l cambio lira-euro </w:t>
      </w:r>
      <w:r w:rsidR="005A1159">
        <w:rPr>
          <w:sz w:val="24"/>
          <w:szCs w:val="24"/>
        </w:rPr>
        <w:t xml:space="preserve">entrato in vigore </w:t>
      </w:r>
      <w:r>
        <w:rPr>
          <w:sz w:val="24"/>
          <w:szCs w:val="24"/>
        </w:rPr>
        <w:t>da</w:t>
      </w:r>
      <w:r w:rsidR="002242C3" w:rsidRPr="00984667">
        <w:rPr>
          <w:sz w:val="24"/>
          <w:szCs w:val="24"/>
        </w:rPr>
        <w:t xml:space="preserve">l </w:t>
      </w:r>
      <w:r>
        <w:rPr>
          <w:sz w:val="24"/>
          <w:szCs w:val="24"/>
        </w:rPr>
        <w:t>1.1.</w:t>
      </w:r>
      <w:r w:rsidR="002242C3" w:rsidRPr="00984667">
        <w:rPr>
          <w:sz w:val="24"/>
          <w:szCs w:val="24"/>
        </w:rPr>
        <w:t>2002 (1.000 lire</w:t>
      </w:r>
      <w:r w:rsidR="005A1159">
        <w:rPr>
          <w:sz w:val="24"/>
          <w:szCs w:val="24"/>
        </w:rPr>
        <w:t>=</w:t>
      </w:r>
      <w:r w:rsidR="002242C3" w:rsidRPr="00984667">
        <w:rPr>
          <w:sz w:val="24"/>
          <w:szCs w:val="24"/>
        </w:rPr>
        <w:t xml:space="preserve"> 1 euro), </w:t>
      </w:r>
      <w:r>
        <w:rPr>
          <w:sz w:val="24"/>
          <w:szCs w:val="24"/>
        </w:rPr>
        <w:t xml:space="preserve">con lo sciagurato tasso di cambio </w:t>
      </w:r>
      <w:r w:rsidR="002242C3" w:rsidRPr="00984667">
        <w:rPr>
          <w:sz w:val="24"/>
          <w:szCs w:val="24"/>
        </w:rPr>
        <w:t>fissato a 1</w:t>
      </w:r>
      <w:r>
        <w:rPr>
          <w:sz w:val="24"/>
          <w:szCs w:val="24"/>
        </w:rPr>
        <w:t>.</w:t>
      </w:r>
      <w:r w:rsidR="002242C3" w:rsidRPr="00984667">
        <w:rPr>
          <w:sz w:val="24"/>
          <w:szCs w:val="24"/>
        </w:rPr>
        <w:t>936,27 lire</w:t>
      </w:r>
      <w:r w:rsidR="005A1159">
        <w:rPr>
          <w:sz w:val="24"/>
          <w:szCs w:val="24"/>
        </w:rPr>
        <w:t xml:space="preserve"> ad</w:t>
      </w:r>
      <w:r w:rsidR="002242C3" w:rsidRPr="00984667">
        <w:rPr>
          <w:sz w:val="24"/>
          <w:szCs w:val="24"/>
        </w:rPr>
        <w:t xml:space="preserve"> euro</w:t>
      </w:r>
      <w:r>
        <w:rPr>
          <w:sz w:val="24"/>
          <w:szCs w:val="24"/>
        </w:rPr>
        <w:t xml:space="preserve"> (invece di un giusto tasso di 1.300 lire</w:t>
      </w:r>
      <w:r w:rsidR="005A1159">
        <w:rPr>
          <w:sz w:val="24"/>
          <w:szCs w:val="24"/>
        </w:rPr>
        <w:t xml:space="preserve"> </w:t>
      </w:r>
      <w:proofErr w:type="spellStart"/>
      <w:r w:rsidR="005A1159">
        <w:rPr>
          <w:sz w:val="24"/>
          <w:szCs w:val="24"/>
        </w:rPr>
        <w:t>max</w:t>
      </w:r>
      <w:proofErr w:type="spellEnd"/>
      <w:r w:rsidR="005A1159">
        <w:rPr>
          <w:sz w:val="24"/>
          <w:szCs w:val="24"/>
        </w:rPr>
        <w:t xml:space="preserve"> per 1 euro</w:t>
      </w:r>
      <w:r>
        <w:rPr>
          <w:sz w:val="24"/>
          <w:szCs w:val="24"/>
        </w:rPr>
        <w:t>), ha svuotato le tasche delle famiglie italiane</w:t>
      </w:r>
      <w:r w:rsidR="005A1159">
        <w:rPr>
          <w:sz w:val="24"/>
          <w:szCs w:val="24"/>
        </w:rPr>
        <w:t>,</w:t>
      </w:r>
      <w:r>
        <w:rPr>
          <w:sz w:val="24"/>
          <w:szCs w:val="24"/>
        </w:rPr>
        <w:t xml:space="preserve"> al ritmo di </w:t>
      </w:r>
      <w:r w:rsidR="005A1159">
        <w:rPr>
          <w:sz w:val="24"/>
          <w:szCs w:val="24"/>
        </w:rPr>
        <w:t>1.100 euro l’anno di rincari speculati, per un conto finale superiore a 11.000 euro pro-capite nell’ultimo decennio.</w:t>
      </w:r>
      <w:r w:rsidR="00984667" w:rsidRPr="00984667">
        <w:rPr>
          <w:sz w:val="24"/>
          <w:szCs w:val="24"/>
        </w:rPr>
        <w:t xml:space="preserve"> </w:t>
      </w:r>
    </w:p>
    <w:p w:rsidR="004131BA" w:rsidRDefault="00BC3416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242C3" w:rsidRPr="00984667">
        <w:rPr>
          <w:sz w:val="24"/>
          <w:szCs w:val="24"/>
        </w:rPr>
        <w:t xml:space="preserve">Dall'ingresso nell' euro infatti, avvenuto senza alcun controllo nel gennaio 2002 con il </w:t>
      </w:r>
      <w:r w:rsidR="004131BA">
        <w:rPr>
          <w:sz w:val="24"/>
          <w:szCs w:val="24"/>
        </w:rPr>
        <w:t>C</w:t>
      </w:r>
      <w:r w:rsidR="002242C3" w:rsidRPr="00984667">
        <w:rPr>
          <w:sz w:val="24"/>
          <w:szCs w:val="24"/>
        </w:rPr>
        <w:t xml:space="preserve">omitato </w:t>
      </w:r>
      <w:r w:rsidR="004131BA">
        <w:rPr>
          <w:sz w:val="24"/>
          <w:szCs w:val="24"/>
        </w:rPr>
        <w:t>E</w:t>
      </w:r>
      <w:r w:rsidR="002242C3" w:rsidRPr="00984667">
        <w:rPr>
          <w:sz w:val="24"/>
          <w:szCs w:val="24"/>
        </w:rPr>
        <w:t>uro che assecondava gli aumenti, si è registrata una perdita del potere di acquisto, che anche le statistiche ufficiali sono costrette a riconoscere, pari a 1</w:t>
      </w:r>
      <w:r w:rsidR="004131BA">
        <w:rPr>
          <w:sz w:val="24"/>
          <w:szCs w:val="24"/>
        </w:rPr>
        <w:t>1.054</w:t>
      </w:r>
      <w:r w:rsidR="002242C3" w:rsidRPr="00984667">
        <w:rPr>
          <w:sz w:val="24"/>
          <w:szCs w:val="24"/>
        </w:rPr>
        <w:t xml:space="preserve"> euro </w:t>
      </w:r>
      <w:r w:rsidR="004131BA">
        <w:rPr>
          <w:sz w:val="24"/>
          <w:szCs w:val="24"/>
        </w:rPr>
        <w:t>per ogni</w:t>
      </w:r>
      <w:r w:rsidR="002242C3" w:rsidRPr="00984667">
        <w:rPr>
          <w:sz w:val="24"/>
          <w:szCs w:val="24"/>
        </w:rPr>
        <w:t xml:space="preserve"> famiglia</w:t>
      </w:r>
      <w:r w:rsidR="004131BA">
        <w:rPr>
          <w:sz w:val="24"/>
          <w:szCs w:val="24"/>
        </w:rPr>
        <w:t xml:space="preserve"> (24 milioni)</w:t>
      </w:r>
      <w:r w:rsidR="002242C3" w:rsidRPr="00984667">
        <w:rPr>
          <w:sz w:val="24"/>
          <w:szCs w:val="24"/>
        </w:rPr>
        <w:t>, con un vero e proprio trasferimento di ricchezza stimato in 26</w:t>
      </w:r>
      <w:r w:rsidR="004131BA">
        <w:rPr>
          <w:sz w:val="24"/>
          <w:szCs w:val="24"/>
        </w:rPr>
        <w:t>5</w:t>
      </w:r>
      <w:r w:rsidR="002242C3" w:rsidRPr="00984667">
        <w:rPr>
          <w:sz w:val="24"/>
          <w:szCs w:val="24"/>
        </w:rPr>
        <w:t>,</w:t>
      </w:r>
      <w:r w:rsidR="004131BA">
        <w:rPr>
          <w:sz w:val="24"/>
          <w:szCs w:val="24"/>
        </w:rPr>
        <w:t>3</w:t>
      </w:r>
      <w:r w:rsidR="002242C3" w:rsidRPr="00984667">
        <w:rPr>
          <w:sz w:val="24"/>
          <w:szCs w:val="24"/>
        </w:rPr>
        <w:t xml:space="preserve"> miliardi di euro, dalle tasche dei consumatori a quelle di coloro che hanno avuto la possibilità di determinare prezzi e tariffe, al riparo dai dovuti controlli delle inutili, forse contigue, autorità di settore.  </w:t>
      </w:r>
    </w:p>
    <w:p w:rsidR="004131BA" w:rsidRDefault="004131BA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242C3" w:rsidRPr="00984667">
        <w:rPr>
          <w:sz w:val="24"/>
          <w:szCs w:val="24"/>
        </w:rPr>
        <w:t xml:space="preserve"> Adusbef e Federconsumatori hanno già divulgato gli aumenti sconsiderati da </w:t>
      </w:r>
      <w:r w:rsidR="002242C3" w:rsidRPr="005A1159">
        <w:rPr>
          <w:i/>
          <w:sz w:val="24"/>
          <w:szCs w:val="24"/>
        </w:rPr>
        <w:t>changeover</w:t>
      </w:r>
      <w:r w:rsidR="002242C3" w:rsidRPr="00984667">
        <w:rPr>
          <w:sz w:val="24"/>
          <w:szCs w:val="24"/>
        </w:rPr>
        <w:t>, avvenuti con la complicità dei governi, con la lista di cento prodotti con il prezzo fissato nel dicembre 2001, ultimi giorni di vita della lira, come ad es. la penna a sfera aumentata del + 207,7%, seguita dal tramezzino (+198,7%) e dal cono gelato con (+159,7%), la confezione di caffè da 250 grammi (+136,5%), il supplì (+123,9%), un chilo di biscotti frollini (+113,3%), la giocata minima del lotto (+ 97,8%), aumenti vertiginosi su prodotti di largo consumo che hanno svuotato e saccheggiato le tasche delle famiglie, con un costo complessivo stimato in 1</w:t>
      </w:r>
      <w:r>
        <w:rPr>
          <w:sz w:val="24"/>
          <w:szCs w:val="24"/>
        </w:rPr>
        <w:t>1.</w:t>
      </w:r>
      <w:r w:rsidR="002242C3" w:rsidRPr="00984667">
        <w:rPr>
          <w:sz w:val="24"/>
          <w:szCs w:val="24"/>
        </w:rPr>
        <w:t>0</w:t>
      </w:r>
      <w:r>
        <w:rPr>
          <w:sz w:val="24"/>
          <w:szCs w:val="24"/>
        </w:rPr>
        <w:t>54</w:t>
      </w:r>
      <w:r w:rsidR="002242C3" w:rsidRPr="00984667">
        <w:rPr>
          <w:sz w:val="24"/>
          <w:szCs w:val="24"/>
        </w:rPr>
        <w:t xml:space="preserve"> euro pro-capite.   </w:t>
      </w:r>
      <w:r>
        <w:rPr>
          <w:sz w:val="24"/>
          <w:szCs w:val="24"/>
        </w:rPr>
        <w:t xml:space="preserve">  </w:t>
      </w:r>
    </w:p>
    <w:p w:rsidR="00984667" w:rsidRDefault="004131BA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2242C3" w:rsidRPr="00984667">
        <w:rPr>
          <w:sz w:val="24"/>
          <w:szCs w:val="24"/>
        </w:rPr>
        <w:t xml:space="preserve">Gli osservatori di Adusbef e Federconsumatori </w:t>
      </w:r>
      <w:r w:rsidR="00334AB8">
        <w:rPr>
          <w:sz w:val="24"/>
          <w:szCs w:val="24"/>
        </w:rPr>
        <w:t>annotavano</w:t>
      </w:r>
      <w:r w:rsidR="002242C3" w:rsidRPr="00984667">
        <w:rPr>
          <w:sz w:val="24"/>
          <w:szCs w:val="24"/>
        </w:rPr>
        <w:t xml:space="preserve"> anche l’aumento dei costi delle abitazioni, problema gigantesco per le famiglie italiane</w:t>
      </w:r>
      <w:r w:rsidR="00334AB8">
        <w:rPr>
          <w:sz w:val="24"/>
          <w:szCs w:val="24"/>
        </w:rPr>
        <w:t>,</w:t>
      </w:r>
      <w:r w:rsidR="002242C3" w:rsidRPr="00984667">
        <w:rPr>
          <w:sz w:val="24"/>
          <w:szCs w:val="24"/>
        </w:rPr>
        <w:t xml:space="preserve"> sia </w:t>
      </w:r>
      <w:r w:rsidR="00334AB8">
        <w:rPr>
          <w:sz w:val="24"/>
          <w:szCs w:val="24"/>
        </w:rPr>
        <w:t xml:space="preserve">per </w:t>
      </w:r>
      <w:r w:rsidR="002242C3" w:rsidRPr="00984667">
        <w:rPr>
          <w:sz w:val="24"/>
          <w:szCs w:val="24"/>
        </w:rPr>
        <w:t>acquisto che per l'affitto e per il costo mensile complessivo,</w:t>
      </w:r>
      <w:r w:rsidR="00334AB8">
        <w:rPr>
          <w:sz w:val="24"/>
          <w:szCs w:val="24"/>
        </w:rPr>
        <w:t xml:space="preserve"> </w:t>
      </w:r>
      <w:r w:rsidR="002242C3" w:rsidRPr="00984667">
        <w:rPr>
          <w:sz w:val="24"/>
          <w:szCs w:val="24"/>
        </w:rPr>
        <w:t>registrando 25 anni di stipendio nel 201</w:t>
      </w:r>
      <w:r w:rsidR="00984667" w:rsidRPr="00984667">
        <w:rPr>
          <w:sz w:val="24"/>
          <w:szCs w:val="24"/>
        </w:rPr>
        <w:t>2</w:t>
      </w:r>
      <w:r w:rsidR="002242C3" w:rsidRPr="00984667">
        <w:rPr>
          <w:sz w:val="24"/>
          <w:szCs w:val="24"/>
        </w:rPr>
        <w:t xml:space="preserve"> per acquistare un appartamento di 90 metri quadri che nel 2001 ne costava 15 anni di stipendio medio, a conferma di un aumento vertiginoso dei prezzi</w:t>
      </w:r>
      <w:r w:rsidR="00334AB8">
        <w:rPr>
          <w:sz w:val="24"/>
          <w:szCs w:val="24"/>
        </w:rPr>
        <w:t xml:space="preserve"> e conseguente crollo del mercato immobiliare.</w:t>
      </w:r>
      <w:r w:rsidR="002242C3" w:rsidRPr="00984667">
        <w:rPr>
          <w:sz w:val="24"/>
          <w:szCs w:val="24"/>
        </w:rPr>
        <w:t xml:space="preserve">  </w:t>
      </w:r>
    </w:p>
    <w:p w:rsidR="00334AB8" w:rsidRPr="00984667" w:rsidRDefault="00334AB8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Il crollo dei consumi e le sofferenze economiche degli italiani, che ha colpito anche il ceto medio ed i redditi che potevano essere definiti dei “benestanti” nel 2001,è dimostrato inconfutabilmente dallo studio Adusbef sulla capacità di spesa</w:t>
      </w:r>
      <w:r w:rsidR="00D80C1E">
        <w:rPr>
          <w:sz w:val="24"/>
          <w:szCs w:val="24"/>
        </w:rPr>
        <w:t xml:space="preserve"> (</w:t>
      </w:r>
      <w:proofErr w:type="spellStart"/>
      <w:r w:rsidR="00D80C1E">
        <w:rPr>
          <w:sz w:val="24"/>
          <w:szCs w:val="24"/>
        </w:rPr>
        <w:t>Cds</w:t>
      </w:r>
      <w:proofErr w:type="spellEnd"/>
      <w:r w:rsidR="00D80C1E">
        <w:rPr>
          <w:sz w:val="24"/>
          <w:szCs w:val="24"/>
        </w:rPr>
        <w:t>)</w:t>
      </w:r>
      <w:r>
        <w:rPr>
          <w:sz w:val="24"/>
          <w:szCs w:val="24"/>
        </w:rPr>
        <w:t xml:space="preserve">, pari </w:t>
      </w:r>
      <w:r w:rsidR="00D80C1E">
        <w:rPr>
          <w:sz w:val="24"/>
          <w:szCs w:val="24"/>
        </w:rPr>
        <w:t xml:space="preserve">in Italia </w:t>
      </w:r>
      <w:r>
        <w:rPr>
          <w:sz w:val="24"/>
          <w:szCs w:val="24"/>
        </w:rPr>
        <w:t>a 119 nel 2001,tra le più elevate dei paesi europei</w:t>
      </w:r>
      <w:r w:rsidR="00D80C1E">
        <w:rPr>
          <w:sz w:val="24"/>
          <w:szCs w:val="24"/>
        </w:rPr>
        <w:t xml:space="preserve"> superata da Inghilterra (120); Svezia (123); </w:t>
      </w:r>
      <w:r w:rsidR="00286D45">
        <w:rPr>
          <w:sz w:val="24"/>
          <w:szCs w:val="24"/>
        </w:rPr>
        <w:t xml:space="preserve">Belgio (124); </w:t>
      </w:r>
      <w:r w:rsidR="00D80C1E">
        <w:rPr>
          <w:sz w:val="24"/>
          <w:szCs w:val="24"/>
        </w:rPr>
        <w:t xml:space="preserve">Austria (126); Danimarca (128); </w:t>
      </w:r>
      <w:r w:rsidR="00D80C1E" w:rsidRPr="00D80C1E">
        <w:rPr>
          <w:sz w:val="24"/>
          <w:szCs w:val="24"/>
        </w:rPr>
        <w:t>Olanda ed Irlanda (134);</w:t>
      </w:r>
      <w:r w:rsidR="00D80C1E">
        <w:rPr>
          <w:sz w:val="24"/>
          <w:szCs w:val="24"/>
        </w:rPr>
        <w:t xml:space="preserve"> Lussemburgo (235); più elevata di Francia; Germania e Finlandia (116). Nel 2012, </w:t>
      </w:r>
      <w:r w:rsidR="00286D45">
        <w:rPr>
          <w:sz w:val="24"/>
          <w:szCs w:val="24"/>
        </w:rPr>
        <w:t>l’</w:t>
      </w:r>
      <w:r w:rsidR="00D80C1E">
        <w:rPr>
          <w:sz w:val="24"/>
          <w:szCs w:val="24"/>
        </w:rPr>
        <w:t xml:space="preserve">Italia (-16,8%) guida la classifica negativa della capacità di spesa </w:t>
      </w:r>
      <w:r w:rsidR="00286D45">
        <w:rPr>
          <w:sz w:val="24"/>
          <w:szCs w:val="24"/>
        </w:rPr>
        <w:t>(</w:t>
      </w:r>
      <w:proofErr w:type="spellStart"/>
      <w:r w:rsidR="00286D45">
        <w:rPr>
          <w:sz w:val="24"/>
          <w:szCs w:val="24"/>
        </w:rPr>
        <w:t>Cds</w:t>
      </w:r>
      <w:proofErr w:type="spellEnd"/>
      <w:r w:rsidR="00286D45">
        <w:rPr>
          <w:sz w:val="24"/>
          <w:szCs w:val="24"/>
        </w:rPr>
        <w:t xml:space="preserve">) </w:t>
      </w:r>
      <w:r w:rsidR="00D80C1E">
        <w:rPr>
          <w:sz w:val="24"/>
          <w:szCs w:val="24"/>
        </w:rPr>
        <w:t>ridotta di 20 punti ed attestata a 99; al secondo posto la Grecia (-13,8%</w:t>
      </w:r>
      <w:r w:rsidR="00286D45">
        <w:rPr>
          <w:sz w:val="24"/>
          <w:szCs w:val="24"/>
        </w:rPr>
        <w:t xml:space="preserve"> la </w:t>
      </w:r>
      <w:proofErr w:type="spellStart"/>
      <w:r w:rsidR="00286D45">
        <w:rPr>
          <w:sz w:val="24"/>
          <w:szCs w:val="24"/>
        </w:rPr>
        <w:t>Cds</w:t>
      </w:r>
      <w:proofErr w:type="spellEnd"/>
      <w:r w:rsidR="00286D45">
        <w:rPr>
          <w:sz w:val="24"/>
          <w:szCs w:val="24"/>
        </w:rPr>
        <w:t xml:space="preserve"> che passa da 87 a 75); al terzo il Regno Unito (-8,3% con la </w:t>
      </w:r>
      <w:proofErr w:type="spellStart"/>
      <w:r w:rsidR="00286D45">
        <w:rPr>
          <w:sz w:val="24"/>
          <w:szCs w:val="24"/>
        </w:rPr>
        <w:t>Cds</w:t>
      </w:r>
      <w:proofErr w:type="spellEnd"/>
      <w:r w:rsidR="00286D45">
        <w:rPr>
          <w:sz w:val="24"/>
          <w:szCs w:val="24"/>
        </w:rPr>
        <w:t xml:space="preserve"> a 110; al quarto il Portogallo – 7,4% che si attesta a 75; al quinto la Francia  -6,9% con la </w:t>
      </w:r>
      <w:proofErr w:type="spellStart"/>
      <w:r w:rsidR="00286D45">
        <w:rPr>
          <w:sz w:val="24"/>
          <w:szCs w:val="24"/>
        </w:rPr>
        <w:t>Cds</w:t>
      </w:r>
      <w:proofErr w:type="spellEnd"/>
      <w:r w:rsidR="00286D45">
        <w:rPr>
          <w:sz w:val="24"/>
          <w:szCs w:val="24"/>
        </w:rPr>
        <w:t xml:space="preserve"> a 108; al sesto il Belgio a 119; mentre Austria (131); Germania (122); Svezia (129) e Lussemburgo (272) aumentano la capacità di spesa.</w:t>
      </w:r>
      <w:r w:rsidR="00D80C1E">
        <w:rPr>
          <w:sz w:val="24"/>
          <w:szCs w:val="24"/>
        </w:rPr>
        <w:t xml:space="preserve"> </w:t>
      </w:r>
    </w:p>
    <w:p w:rsidR="003C49C0" w:rsidRDefault="002242C3" w:rsidP="00984667">
      <w:pPr>
        <w:pStyle w:val="Nessunaspaziatura"/>
        <w:jc w:val="both"/>
        <w:rPr>
          <w:sz w:val="24"/>
          <w:szCs w:val="24"/>
        </w:rPr>
      </w:pPr>
      <w:r w:rsidRPr="00984667">
        <w:rPr>
          <w:sz w:val="24"/>
          <w:szCs w:val="24"/>
        </w:rPr>
        <w:t xml:space="preserve">  Ora che la crisi economica ha accentuato la </w:t>
      </w:r>
      <w:proofErr w:type="spellStart"/>
      <w:r w:rsidRPr="00984667">
        <w:rPr>
          <w:sz w:val="24"/>
          <w:szCs w:val="24"/>
        </w:rPr>
        <w:t>débacle</w:t>
      </w:r>
      <w:proofErr w:type="spellEnd"/>
      <w:r w:rsidRPr="00984667">
        <w:rPr>
          <w:sz w:val="24"/>
          <w:szCs w:val="24"/>
        </w:rPr>
        <w:t xml:space="preserve"> de</w:t>
      </w:r>
      <w:r w:rsidR="005A1159">
        <w:rPr>
          <w:sz w:val="24"/>
          <w:szCs w:val="24"/>
        </w:rPr>
        <w:t>i consumi, che potranno scendere fino al 9,1% nel 2013, Adusbef e Federconsumatori propongono la loro ricetta p</w:t>
      </w:r>
      <w:r w:rsidRPr="00984667">
        <w:rPr>
          <w:sz w:val="24"/>
          <w:szCs w:val="24"/>
        </w:rPr>
        <w:t>er restituire potere di acquisto alle famiglie dissanguate</w:t>
      </w:r>
      <w:r w:rsidR="005A1159">
        <w:rPr>
          <w:sz w:val="24"/>
          <w:szCs w:val="24"/>
        </w:rPr>
        <w:t xml:space="preserve">: </w:t>
      </w:r>
      <w:r w:rsidRPr="00984667">
        <w:rPr>
          <w:sz w:val="24"/>
          <w:szCs w:val="24"/>
        </w:rPr>
        <w:t xml:space="preserve"> la sterilizzazione totale di prezzi e tariffe per almeno 12 mesi; il </w:t>
      </w:r>
      <w:r w:rsidR="005A1159">
        <w:rPr>
          <w:sz w:val="24"/>
          <w:szCs w:val="24"/>
        </w:rPr>
        <w:t>ravvedimento operoso sull’Iva ripristinando l’aliquota del 21%, in linea con la media Ue pari al 20,9%,</w:t>
      </w:r>
      <w:r w:rsidRPr="00984667">
        <w:rPr>
          <w:sz w:val="24"/>
          <w:szCs w:val="24"/>
        </w:rPr>
        <w:t xml:space="preserve"> tassa sui poveri che renderà ancora più acuta la stagnazione</w:t>
      </w:r>
      <w:r w:rsidR="005A1159">
        <w:rPr>
          <w:sz w:val="24"/>
          <w:szCs w:val="24"/>
        </w:rPr>
        <w:t xml:space="preserve"> e ridurrà il gettito</w:t>
      </w:r>
      <w:r w:rsidRPr="00984667">
        <w:rPr>
          <w:sz w:val="24"/>
          <w:szCs w:val="24"/>
        </w:rPr>
        <w:t xml:space="preserve">; </w:t>
      </w:r>
      <w:r w:rsidR="00286D45">
        <w:rPr>
          <w:sz w:val="24"/>
          <w:szCs w:val="24"/>
        </w:rPr>
        <w:t>la</w:t>
      </w:r>
      <w:r w:rsidRPr="00984667">
        <w:rPr>
          <w:sz w:val="24"/>
          <w:szCs w:val="24"/>
        </w:rPr>
        <w:t xml:space="preserve">  riforma delle distratte autorità vigilanti, che invece di contrastare monopoli, oligopoli e cartelli bancari, assicurativi, elettrici e del gas, ci sono andati a braccetto; l’impegno ad aumentare la concorrenza specie nel settore bancario</w:t>
      </w:r>
      <w:r w:rsidR="005A1159">
        <w:rPr>
          <w:sz w:val="24"/>
          <w:szCs w:val="24"/>
        </w:rPr>
        <w:t xml:space="preserve"> ed assicurativo</w:t>
      </w:r>
      <w:r w:rsidRPr="00984667">
        <w:rPr>
          <w:sz w:val="24"/>
          <w:szCs w:val="24"/>
        </w:rPr>
        <w:t xml:space="preserve">; il rafforzamento della legge sulla </w:t>
      </w:r>
      <w:proofErr w:type="spellStart"/>
      <w:r w:rsidRPr="00984667">
        <w:rPr>
          <w:sz w:val="24"/>
          <w:szCs w:val="24"/>
        </w:rPr>
        <w:t>class</w:t>
      </w:r>
      <w:proofErr w:type="spellEnd"/>
      <w:r w:rsidRPr="00984667">
        <w:rPr>
          <w:sz w:val="24"/>
          <w:szCs w:val="24"/>
        </w:rPr>
        <w:t xml:space="preserve"> </w:t>
      </w:r>
      <w:proofErr w:type="spellStart"/>
      <w:r w:rsidRPr="00984667">
        <w:rPr>
          <w:sz w:val="24"/>
          <w:szCs w:val="24"/>
        </w:rPr>
        <w:t>action</w:t>
      </w:r>
      <w:proofErr w:type="spellEnd"/>
      <w:r w:rsidRPr="00984667">
        <w:rPr>
          <w:sz w:val="24"/>
          <w:szCs w:val="24"/>
        </w:rPr>
        <w:t xml:space="preserve">, che </w:t>
      </w:r>
      <w:r w:rsidR="005A1159">
        <w:rPr>
          <w:sz w:val="24"/>
          <w:szCs w:val="24"/>
        </w:rPr>
        <w:t xml:space="preserve">con il ‘danno punitivo’ </w:t>
      </w:r>
      <w:r w:rsidRPr="00984667">
        <w:rPr>
          <w:sz w:val="24"/>
          <w:szCs w:val="24"/>
        </w:rPr>
        <w:t>può contrastare i predatori delle famiglie; un taglio drastico del 10% della spesa pubblica, per finanziare gli investimenti e ridurre il debito pubblico di almeno 20 miliardi l’anno.</w:t>
      </w:r>
    </w:p>
    <w:p w:rsidR="00286D45" w:rsidRDefault="00286D45" w:rsidP="00984667">
      <w:pPr>
        <w:pStyle w:val="Nessunaspaziatura"/>
        <w:jc w:val="both"/>
        <w:rPr>
          <w:sz w:val="24"/>
          <w:szCs w:val="24"/>
        </w:rPr>
      </w:pPr>
    </w:p>
    <w:p w:rsidR="00286D45" w:rsidRDefault="00286D45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Elio Lannutti (Adusbef) – Rosario Trefiletti (Federconsumatori)</w:t>
      </w:r>
    </w:p>
    <w:p w:rsidR="00286D45" w:rsidRPr="00984667" w:rsidRDefault="00286D45" w:rsidP="00984667">
      <w:pPr>
        <w:pStyle w:val="Nessunaspaziatura"/>
        <w:jc w:val="both"/>
        <w:rPr>
          <w:sz w:val="24"/>
          <w:szCs w:val="24"/>
        </w:rPr>
      </w:pPr>
      <w:r>
        <w:rPr>
          <w:sz w:val="24"/>
          <w:szCs w:val="24"/>
        </w:rPr>
        <w:t>Roma,</w:t>
      </w:r>
      <w:r w:rsidR="00CD7341">
        <w:rPr>
          <w:sz w:val="24"/>
          <w:szCs w:val="24"/>
        </w:rPr>
        <w:t>9.11.2013</w:t>
      </w:r>
    </w:p>
    <w:p w:rsidR="003C49C0" w:rsidRPr="00984667" w:rsidRDefault="003C49C0" w:rsidP="00984667">
      <w:pPr>
        <w:pStyle w:val="Nessunaspaziatura"/>
        <w:jc w:val="both"/>
        <w:rPr>
          <w:sz w:val="24"/>
          <w:szCs w:val="24"/>
        </w:rPr>
      </w:pP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lang w:eastAsia="it-IT"/>
        </w:rPr>
        <w:t>Sono stati evidenziati in rosso i 5 maggiori paesi UE.</w:t>
      </w: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sz w:val="24"/>
          <w:szCs w:val="24"/>
          <w:lang w:eastAsia="it-IT"/>
        </w:rPr>
        <w:t> </w:t>
      </w: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center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  <w:t>TAB 5 -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8"/>
        <w:gridCol w:w="5126"/>
      </w:tblGrid>
      <w:tr w:rsidR="00780894" w:rsidRPr="00780894" w:rsidTr="00780894">
        <w:trPr>
          <w:jc w:val="center"/>
        </w:trPr>
        <w:tc>
          <w:tcPr>
            <w:tcW w:w="239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0894" w:rsidRPr="00780894" w:rsidRDefault="00780894" w:rsidP="00780894">
            <w:pPr>
              <w:suppressAutoHyphens w:val="0"/>
              <w:autoSpaceDN/>
              <w:spacing w:after="0"/>
              <w:ind w:left="95" w:right="-1"/>
              <w:jc w:val="center"/>
              <w:textAlignment w:val="auto"/>
              <w:rPr>
                <w:rFonts w:ascii="Century Gothic" w:eastAsia="Times New Roman" w:hAnsi="Century Gothic"/>
                <w:bCs/>
                <w:iCs/>
                <w:kern w:val="36"/>
                <w:sz w:val="20"/>
              </w:rPr>
            </w:pP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3.A) PAESI UE. Andamento della Capacità di spesa  dal 2001  al 2012</w:t>
            </w:r>
          </w:p>
          <w:p w:rsidR="00780894" w:rsidRPr="00780894" w:rsidRDefault="00780894" w:rsidP="00780894">
            <w:pPr>
              <w:suppressAutoHyphens w:val="0"/>
              <w:autoSpaceDN/>
              <w:spacing w:after="0"/>
              <w:ind w:left="95" w:right="-1"/>
              <w:jc w:val="center"/>
              <w:textAlignment w:val="auto"/>
              <w:rPr>
                <w:rFonts w:ascii="Century Gothic" w:eastAsia="Times New Roman" w:hAnsi="Century Gothic"/>
                <w:bCs/>
                <w:iCs/>
                <w:kern w:val="36"/>
                <w:sz w:val="20"/>
              </w:rPr>
            </w:pP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Ns elaborazioni su dati </w:t>
            </w:r>
            <w:proofErr w:type="spellStart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Eurostat</w:t>
            </w:r>
            <w:proofErr w:type="spellEnd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.</w:t>
            </w:r>
          </w:p>
          <w:tbl>
            <w:tblPr>
              <w:tblW w:w="0" w:type="auto"/>
              <w:tblCellSpacing w:w="0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51"/>
              <w:gridCol w:w="721"/>
              <w:gridCol w:w="678"/>
              <w:gridCol w:w="1188"/>
              <w:gridCol w:w="368"/>
            </w:tblGrid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2001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2012</w:t>
                  </w:r>
                </w:p>
              </w:tc>
              <w:tc>
                <w:tcPr>
                  <w:tcW w:w="1746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953735"/>
                      <w:kern w:val="36"/>
                      <w:sz w:val="20"/>
                      <w:szCs w:val="24"/>
                    </w:rPr>
                    <w:t>2012/2001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4"/>
                    </w:rPr>
                    <w:t>Italy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119 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- 16, 8 %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36C0A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Greece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87</w:t>
                  </w: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  <w:vertAlign w:val="superscript"/>
                    </w:rPr>
                    <w:t>p</w:t>
                  </w: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</w:t>
                  </w: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  <w:vertAlign w:val="superscript"/>
                    </w:rPr>
                    <w:t>p</w:t>
                  </w: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- 13,8 %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36C0A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4"/>
                      <w:lang w:val="en-US"/>
                    </w:rPr>
                    <w:t>U. Kingdom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  <w:lang w:val="en-US"/>
                    </w:rPr>
                    <w:t>120 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  <w:lang w:val="en-US"/>
                    </w:rPr>
                    <w:t>110 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  <w:lang w:val="en-US"/>
                    </w:rPr>
                    <w:t>- 8,3 %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  <w:lang w:val="en-US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Portugal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81 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- 7,4 %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4"/>
                    </w:rPr>
                    <w:t>France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116 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108 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- 6,9 %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Belgium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124 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- 4,0 %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Netherlands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134 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- 3,7 %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Ireland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134 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130 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- 3,0 %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Denmark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128 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125 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- 2,3 %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4"/>
                    </w:rPr>
                    <w:t>Spain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98 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97 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- 1,0 %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Finland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116 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115 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- 0,9 %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Cyprus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91 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91 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    0,0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Slovenia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80 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82 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+ 2,5 %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Austria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126 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131 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+ 4,0 %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Malta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82 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86 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+ 4,9 %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Sweden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123 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+ 4,9 %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4"/>
                    </w:rPr>
                    <w:t>Germany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116 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122 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+ 5,2 %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Czech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Rep.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73 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+ 8,2 %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Hungary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58 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66 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+ 13,8 %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Luxembourg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235 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272 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+ 15,7 %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Croatia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51 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61 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+ 19,6 %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Poland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48 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66 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+ 37, 5 %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Slovakia</w:t>
                  </w:r>
                  <w:proofErr w:type="spellEnd"/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53 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+ 41,5 %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Estonia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47 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+ 46,8 %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Bulgaria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30 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47 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+ 56,7 %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Latvia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39 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62 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+ 59, 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Lithuania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42 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70 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+ 66,7 %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0"/>
                <w:tblCellSpacing w:w="0" w:type="dxa"/>
              </w:trPr>
              <w:tc>
                <w:tcPr>
                  <w:tcW w:w="165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Romania</w:t>
                  </w:r>
                </w:p>
              </w:tc>
              <w:tc>
                <w:tcPr>
                  <w:tcW w:w="790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28 </w:t>
                  </w:r>
                </w:p>
              </w:tc>
              <w:tc>
                <w:tcPr>
                  <w:tcW w:w="73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49 </w:t>
                  </w:r>
                </w:p>
              </w:tc>
              <w:tc>
                <w:tcPr>
                  <w:tcW w:w="131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+ 75,0 %</w:t>
                  </w:r>
                </w:p>
              </w:tc>
              <w:tc>
                <w:tcPr>
                  <w:tcW w:w="42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</w:tbl>
          <w:p w:rsidR="00780894" w:rsidRPr="00780894" w:rsidRDefault="00780894" w:rsidP="0078089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Century Gothic" w:hAnsi="Century Gothic"/>
                <w:bCs/>
                <w:iCs/>
                <w:kern w:val="36"/>
              </w:rPr>
            </w:pPr>
          </w:p>
        </w:tc>
        <w:tc>
          <w:tcPr>
            <w:tcW w:w="260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0894" w:rsidRPr="00780894" w:rsidRDefault="00780894" w:rsidP="00780894">
            <w:pPr>
              <w:suppressAutoHyphens w:val="0"/>
              <w:autoSpaceDN/>
              <w:spacing w:after="0"/>
              <w:ind w:left="95" w:right="-1"/>
              <w:jc w:val="center"/>
              <w:textAlignment w:val="auto"/>
              <w:rPr>
                <w:rFonts w:ascii="Century Gothic" w:eastAsia="Times New Roman" w:hAnsi="Century Gothic"/>
                <w:bCs/>
                <w:iCs/>
                <w:kern w:val="36"/>
                <w:sz w:val="20"/>
              </w:rPr>
            </w:pP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3.B) PAESI UE. Andamento della Capacità di sp</w:t>
            </w: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e</w:t>
            </w: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sa dalla crisi dei </w:t>
            </w:r>
            <w:proofErr w:type="spellStart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subprime</w:t>
            </w:r>
            <w:proofErr w:type="spellEnd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 (fine 200</w:t>
            </w:r>
            <w:r w:rsidR="00C81976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7</w:t>
            </w: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) al 2012</w:t>
            </w:r>
          </w:p>
          <w:p w:rsidR="00780894" w:rsidRPr="00780894" w:rsidRDefault="00780894" w:rsidP="00780894">
            <w:pPr>
              <w:suppressAutoHyphens w:val="0"/>
              <w:autoSpaceDN/>
              <w:spacing w:after="0"/>
              <w:ind w:left="95" w:right="-1"/>
              <w:jc w:val="center"/>
              <w:textAlignment w:val="auto"/>
              <w:rPr>
                <w:rFonts w:ascii="Century Gothic" w:eastAsia="Times New Roman" w:hAnsi="Century Gothic"/>
                <w:bCs/>
                <w:iCs/>
                <w:kern w:val="36"/>
                <w:sz w:val="20"/>
              </w:rPr>
            </w:pPr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Ns elaborazioni su dati </w:t>
            </w:r>
            <w:proofErr w:type="spellStart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Eurostat</w:t>
            </w:r>
            <w:proofErr w:type="spellEnd"/>
            <w:r w:rsidRPr="00780894">
              <w:rPr>
                <w:rFonts w:ascii="Century Gothic" w:eastAsia="Times New Roman" w:hAnsi="Century Gothic"/>
                <w:b/>
                <w:iCs/>
                <w:color w:val="000000"/>
                <w:kern w:val="36"/>
                <w:sz w:val="20"/>
              </w:rPr>
              <w:t>.</w:t>
            </w:r>
          </w:p>
          <w:tbl>
            <w:tblPr>
              <w:tblW w:w="0" w:type="auto"/>
              <w:jc w:val="center"/>
              <w:tblCellSpacing w:w="0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5"/>
              <w:gridCol w:w="881"/>
              <w:gridCol w:w="709"/>
              <w:gridCol w:w="1276"/>
              <w:gridCol w:w="425"/>
            </w:tblGrid>
            <w:tr w:rsidR="00780894" w:rsidRPr="00780894">
              <w:trPr>
                <w:trHeight w:val="467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2007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2012</w:t>
                  </w:r>
                </w:p>
              </w:tc>
              <w:tc>
                <w:tcPr>
                  <w:tcW w:w="1701" w:type="dxa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C00000"/>
                      <w:kern w:val="36"/>
                      <w:sz w:val="20"/>
                      <w:szCs w:val="24"/>
                    </w:rPr>
                    <w:t>2012/2007</w:t>
                  </w:r>
                </w:p>
              </w:tc>
            </w:tr>
            <w:tr w:rsidR="00780894" w:rsidRPr="00780894">
              <w:trPr>
                <w:trHeight w:val="170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Greece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90p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75p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- 16,7 %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36C0A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Ireland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146 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130 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- 10,9 %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36C0A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184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Slovenia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89 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82 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- 7,9 %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92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0"/>
                    </w:rPr>
                    <w:t>Spain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105 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97 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- 7,6 %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0"/>
                    </w:rPr>
                    <w:t>U. Kingdom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117 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110 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- 6,0 %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70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Portugal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79 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- 5,1 %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116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Czech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 Rep.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83 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- 4,8 %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0"/>
                    </w:rPr>
                    <w:t>Italy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104 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- 4,8 %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80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Cyprus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95 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91 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- 4,2 %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Netherlands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133 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- 3,0 %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Belgium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116 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- 2,6 %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104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Finland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118 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115 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- 2,5 %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Denmark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123 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125 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- 1,6 %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Estonia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70 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- 1,4 %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9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Luxembourg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275 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272 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- 1,1 %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11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Croatia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61 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61 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0,0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0"/>
                    </w:rPr>
                    <w:t>France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108 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108 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0,0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137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Sweden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125 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+ 3,2 %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20"/>
                      <w:szCs w:val="20"/>
                    </w:rPr>
                    <w:t>Germany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116 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122 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+ 5,2 %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Austria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124 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131 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+ 5,6 %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Hungary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62 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66 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+ 6,5 %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Latvia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58 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62 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+ 6,9 %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Malta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78 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86 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+ 10,3 %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Slovakia</w:t>
                  </w:r>
                  <w:proofErr w:type="spellEnd"/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68 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75 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+ 10,3 %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89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Lithuania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62 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70 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+ 12,9 %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Romania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42 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49 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+ 16,7 %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58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Bulgaria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40 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47 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+ 17,5 %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158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0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0"/>
                    </w:rPr>
                    <w:t>Poland</w:t>
                  </w:r>
                </w:p>
              </w:tc>
              <w:tc>
                <w:tcPr>
                  <w:tcW w:w="881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55 </w:t>
                  </w:r>
                </w:p>
              </w:tc>
              <w:tc>
                <w:tcPr>
                  <w:tcW w:w="7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  <w:t>66 </w:t>
                  </w:r>
                </w:p>
              </w:tc>
              <w:tc>
                <w:tcPr>
                  <w:tcW w:w="1276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+ 17,9 %</w:t>
                  </w:r>
                </w:p>
              </w:tc>
              <w:tc>
                <w:tcPr>
                  <w:tcW w:w="42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20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20"/>
                      <w:szCs w:val="24"/>
                    </w:rPr>
                    <w:t> </w:t>
                  </w:r>
                </w:p>
              </w:tc>
            </w:tr>
          </w:tbl>
          <w:p w:rsidR="00780894" w:rsidRPr="00780894" w:rsidRDefault="00780894" w:rsidP="00780894">
            <w:pPr>
              <w:suppressAutoHyphens w:val="0"/>
              <w:autoSpaceDN/>
              <w:spacing w:after="0"/>
              <w:jc w:val="center"/>
              <w:textAlignment w:val="auto"/>
              <w:rPr>
                <w:rFonts w:ascii="Century Gothic" w:hAnsi="Century Gothic"/>
                <w:bCs/>
                <w:iCs/>
                <w:kern w:val="36"/>
              </w:rPr>
            </w:pPr>
          </w:p>
        </w:tc>
      </w:tr>
    </w:tbl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sz w:val="18"/>
          <w:szCs w:val="18"/>
          <w:lang w:eastAsia="it-IT"/>
        </w:rPr>
        <w:t> </w:t>
      </w:r>
    </w:p>
    <w:p w:rsidR="00780894" w:rsidRPr="00780894" w:rsidRDefault="00780894" w:rsidP="00780894">
      <w:pPr>
        <w:suppressAutoHyphens w:val="0"/>
        <w:autoSpaceDN/>
        <w:spacing w:after="0" w:line="24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lang w:eastAsia="it-IT"/>
        </w:rPr>
        <w:t>Per altri paesi di interesse, riportiamo le stesse indagini.  Notevoli i risultati di Albania, Tu</w:t>
      </w:r>
      <w:r w:rsidRPr="00780894">
        <w:rPr>
          <w:rFonts w:ascii="Century Gothic" w:eastAsia="Times New Roman" w:hAnsi="Century Gothic"/>
          <w:color w:val="000000"/>
          <w:lang w:eastAsia="it-IT"/>
        </w:rPr>
        <w:t>r</w:t>
      </w:r>
      <w:r w:rsidRPr="00780894">
        <w:rPr>
          <w:rFonts w:ascii="Century Gothic" w:eastAsia="Times New Roman" w:hAnsi="Century Gothic"/>
          <w:color w:val="000000"/>
          <w:lang w:eastAsia="it-IT"/>
        </w:rPr>
        <w:t>chia e Macedonia.</w:t>
      </w:r>
      <w:r w:rsidRPr="00780894">
        <w:rPr>
          <w:rFonts w:ascii="Century Gothic" w:eastAsia="Times New Roman" w:hAnsi="Century Gothic"/>
          <w:color w:val="000000"/>
          <w:lang w:eastAsia="it-IT"/>
        </w:rPr>
        <w:tab/>
      </w: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</w:p>
    <w:p w:rsidR="00C81976" w:rsidRDefault="00C81976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C81976" w:rsidRDefault="00C81976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C81976" w:rsidRDefault="00C81976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C81976" w:rsidRDefault="00C81976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80894" w:rsidRDefault="00780894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  <w:r w:rsidRPr="00780894"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  <w:lastRenderedPageBreak/>
        <w:t xml:space="preserve">TABELLA 6 </w:t>
      </w:r>
      <w:r w:rsidR="00C81976"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  <w:t>–</w:t>
      </w:r>
    </w:p>
    <w:p w:rsidR="00C81976" w:rsidRPr="00780894" w:rsidRDefault="00C81976" w:rsidP="00780894">
      <w:pPr>
        <w:suppressAutoHyphens w:val="0"/>
        <w:autoSpaceDN/>
        <w:spacing w:after="0" w:line="240" w:lineRule="atLeast"/>
        <w:ind w:left="95" w:right="-1"/>
        <w:jc w:val="center"/>
        <w:textAlignment w:val="auto"/>
        <w:rPr>
          <w:rFonts w:ascii="Century Gothic" w:eastAsia="Times New Roman" w:hAnsi="Century Gothic"/>
          <w:color w:val="000000"/>
          <w:lang w:eastAsia="it-IT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2"/>
      </w:tblGrid>
      <w:tr w:rsidR="00780894" w:rsidRPr="00780894" w:rsidTr="00780894">
        <w:trPr>
          <w:trHeight w:val="1124"/>
          <w:jc w:val="center"/>
        </w:trPr>
        <w:tc>
          <w:tcPr>
            <w:tcW w:w="11602" w:type="dxa"/>
            <w:tcBorders>
              <w:top w:val="single" w:sz="8" w:space="0" w:color="FFFFFF"/>
              <w:left w:val="single" w:sz="24" w:space="0" w:color="FFFFFF"/>
              <w:bottom w:val="single" w:sz="8" w:space="0" w:color="FFFFFF"/>
              <w:right w:val="single" w:sz="8" w:space="0" w:color="FFFFFF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4700" w:type="pct"/>
              <w:jc w:val="center"/>
              <w:tblCellSpacing w:w="0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4"/>
              <w:gridCol w:w="890"/>
              <w:gridCol w:w="837"/>
              <w:gridCol w:w="1966"/>
              <w:gridCol w:w="1632"/>
              <w:gridCol w:w="961"/>
              <w:gridCol w:w="961"/>
              <w:gridCol w:w="1453"/>
              <w:gridCol w:w="293"/>
            </w:tblGrid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2523" w:type="pct"/>
                  <w:gridSpan w:val="4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4.A) Paesi extra UE. Andamento della Capacità di spesa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dal 2001  al 2012. Ns elaborazioni su dati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Eurostat</w:t>
                  </w:r>
                  <w:proofErr w:type="spellEnd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.</w:t>
                  </w:r>
                </w:p>
              </w:tc>
              <w:tc>
                <w:tcPr>
                  <w:tcW w:w="2477" w:type="pct"/>
                  <w:gridSpan w:val="5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4.B) Paesi extra UE. Andamento della Capacità di spesa dalla crisi dei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subprime</w:t>
                  </w:r>
                  <w:proofErr w:type="spellEnd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 (fine 200</w:t>
                  </w:r>
                  <w:r w:rsidR="00C81976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7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) al 2012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Ns elaborazioni su dati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Eurostat.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FFFFFF"/>
                      <w:kern w:val="36"/>
                      <w:sz w:val="18"/>
                    </w:rPr>
                    <w:t>m</w:t>
                  </w:r>
                  <w:proofErr w:type="spellEnd"/>
                </w:p>
              </w:tc>
            </w:tr>
            <w:tr w:rsidR="00780894" w:rsidRPr="00780894">
              <w:trPr>
                <w:trHeight w:val="235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2001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2012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C00000"/>
                      <w:kern w:val="36"/>
                      <w:sz w:val="18"/>
                      <w:szCs w:val="20"/>
                      <w:lang w:val="en-US"/>
                    </w:rPr>
                    <w:t>2012/2001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2007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2012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C00000"/>
                      <w:kern w:val="36"/>
                      <w:sz w:val="18"/>
                      <w:szCs w:val="20"/>
                      <w:lang w:val="en-US"/>
                    </w:rPr>
                    <w:t>2012/2007</w:t>
                  </w:r>
                </w:p>
              </w:tc>
            </w:tr>
            <w:tr w:rsidR="00780894" w:rsidRPr="00780894">
              <w:trPr>
                <w:trHeight w:val="61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Iceland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133 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113 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- 15,0 %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Iceland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 121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113 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       - 6,6 %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Japan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115 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105 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- 8,7 %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Japan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109 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105 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- 3,7 %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United States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157 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149 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- 5,1 %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United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States</w:t>
                  </w:r>
                  <w:proofErr w:type="spellEnd"/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152 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149 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- 2,0 %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Switzerland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144 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160 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+ 11,1 %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Bosnia </w:t>
                  </w: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Herz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.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28 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28 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0,0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Norway</w:t>
                  </w:r>
                  <w:proofErr w:type="spellEnd"/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162 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196 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+ 21,0 %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Serbia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33 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35 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+ 6,1 %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Macedonia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25 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35 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+ 40,0 %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Montenegro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40 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43 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+ 7,5 %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Turkey</w:t>
                  </w:r>
                  <w:proofErr w:type="spellEnd"/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38 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56 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+ 47,4 %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Norway</w:t>
                  </w:r>
                  <w:proofErr w:type="spellEnd"/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182 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196 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+ 7,7 %</w:t>
                  </w:r>
                </w:p>
              </w:tc>
            </w:tr>
            <w:tr w:rsidR="00780894" w:rsidRPr="00780894">
              <w:trPr>
                <w:trHeight w:val="159"/>
                <w:tblCellSpacing w:w="0" w:type="dxa"/>
                <w:jc w:val="center"/>
              </w:trPr>
              <w:tc>
                <w:tcPr>
                  <w:tcW w:w="797" w:type="pct"/>
                  <w:vMerge w:val="restar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</w:tc>
              <w:tc>
                <w:tcPr>
                  <w:tcW w:w="416" w:type="pct"/>
                  <w:vMerge w:val="restar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2005</w:t>
                  </w:r>
                </w:p>
              </w:tc>
              <w:tc>
                <w:tcPr>
                  <w:tcW w:w="391" w:type="pct"/>
                  <w:vMerge w:val="restar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2012</w:t>
                  </w:r>
                </w:p>
              </w:tc>
              <w:tc>
                <w:tcPr>
                  <w:tcW w:w="919" w:type="pct"/>
                  <w:vMerge w:val="restar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C00000"/>
                      <w:kern w:val="36"/>
                      <w:sz w:val="18"/>
                      <w:szCs w:val="20"/>
                    </w:rPr>
                    <w:t>2012/2005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Switzerland</w:t>
                  </w:r>
                  <w:proofErr w:type="spellEnd"/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145 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160 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+ 10,3 %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  <w:jc w:val="center"/>
              </w:trPr>
              <w:tc>
                <w:tcPr>
                  <w:tcW w:w="10905" w:type="dxa"/>
                  <w:vMerge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</w:p>
              </w:tc>
              <w:tc>
                <w:tcPr>
                  <w:tcW w:w="1375" w:type="dxa"/>
                  <w:vMerge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</w:p>
              </w:tc>
              <w:tc>
                <w:tcPr>
                  <w:tcW w:w="1375" w:type="dxa"/>
                  <w:vMerge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</w:p>
              </w:tc>
              <w:tc>
                <w:tcPr>
                  <w:tcW w:w="2004" w:type="dxa"/>
                  <w:vMerge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Macedonia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31 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35 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+ 12,9 %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Serbia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32 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35 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+ 9,4 % *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Turkey</w:t>
                  </w:r>
                  <w:proofErr w:type="spellEnd"/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45 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56 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+ 24,4 %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Bosnia </w:t>
                  </w: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Herz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.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25 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  <w:lang w:val="en-US"/>
                    </w:rPr>
                    <w:t>28 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  <w:lang w:val="en-US"/>
                    </w:rPr>
                    <w:t>+ 12,0 % *</w:t>
                  </w:r>
                </w:p>
              </w:tc>
              <w:tc>
                <w:tcPr>
                  <w:tcW w:w="763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Albania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23 </w:t>
                  </w:r>
                </w:p>
              </w:tc>
              <w:tc>
                <w:tcPr>
                  <w:tcW w:w="44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30 </w:t>
                  </w:r>
                </w:p>
              </w:tc>
              <w:tc>
                <w:tcPr>
                  <w:tcW w:w="816" w:type="pct"/>
                  <w:gridSpan w:val="2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+ 30,4 %</w:t>
                  </w:r>
                </w:p>
              </w:tc>
            </w:tr>
            <w:tr w:rsidR="00780894" w:rsidRPr="00780894">
              <w:trPr>
                <w:trHeight w:val="125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Albania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22 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30 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+ 36,4 % *</w:t>
                  </w:r>
                </w:p>
              </w:tc>
              <w:tc>
                <w:tcPr>
                  <w:tcW w:w="2340" w:type="pct"/>
                  <w:gridSpan w:val="4"/>
                  <w:tcBorders>
                    <w:top w:val="single" w:sz="2" w:space="0" w:color="auto"/>
                    <w:left w:val="single" w:sz="2" w:space="0" w:color="auto"/>
                    <w:bottom w:val="nil"/>
                    <w:right w:val="nil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24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</w:tc>
              <w:tc>
                <w:tcPr>
                  <w:tcW w:w="137" w:type="pct"/>
                  <w:vMerge w:val="restar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  <w:szCs w:val="20"/>
                    </w:rPr>
                    <w:t> 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  <w:jc w:val="center"/>
              </w:trPr>
              <w:tc>
                <w:tcPr>
                  <w:tcW w:w="797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Montenegro</w:t>
                  </w:r>
                </w:p>
              </w:tc>
              <w:tc>
                <w:tcPr>
                  <w:tcW w:w="416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31 </w:t>
                  </w:r>
                </w:p>
              </w:tc>
              <w:tc>
                <w:tcPr>
                  <w:tcW w:w="391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0"/>
                    </w:rPr>
                    <w:t>43 </w:t>
                  </w:r>
                </w:p>
              </w:tc>
              <w:tc>
                <w:tcPr>
                  <w:tcW w:w="919" w:type="pct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kern w:val="36"/>
                      <w:sz w:val="18"/>
                      <w:szCs w:val="20"/>
                    </w:rPr>
                    <w:t>+ 38,7 % *</w:t>
                  </w:r>
                </w:p>
              </w:tc>
              <w:tc>
                <w:tcPr>
                  <w:tcW w:w="2340" w:type="pct"/>
                  <w:gridSpan w:val="4"/>
                  <w:tcBorders>
                    <w:top w:val="nil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  <w:szCs w:val="20"/>
                    </w:rPr>
                    <w:t>  </w:t>
                  </w:r>
                </w:p>
              </w:tc>
              <w:tc>
                <w:tcPr>
                  <w:tcW w:w="1082" w:type="dxa"/>
                  <w:vMerge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 w:line="240" w:lineRule="auto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</w:p>
              </w:tc>
            </w:tr>
            <w:tr w:rsidR="00780894" w:rsidRPr="00780894">
              <w:trPr>
                <w:trHeight w:val="401"/>
                <w:tblCellSpacing w:w="0" w:type="dxa"/>
                <w:jc w:val="center"/>
              </w:trPr>
              <w:tc>
                <w:tcPr>
                  <w:tcW w:w="5000" w:type="pct"/>
                  <w:gridSpan w:val="9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both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color w:val="000000"/>
                      <w:kern w:val="36"/>
                      <w:sz w:val="18"/>
                      <w:szCs w:val="18"/>
                    </w:rPr>
                    <w:t>(*) Variazione 2012 solo dal 2005 per mancanza rilevazioni    precedenti.</w:t>
                  </w:r>
                </w:p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both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color w:val="000000"/>
                      <w:kern w:val="36"/>
                      <w:sz w:val="18"/>
                      <w:szCs w:val="18"/>
                    </w:rPr>
                    <w:t> </w:t>
                  </w:r>
                </w:p>
              </w:tc>
            </w:tr>
          </w:tbl>
          <w:p w:rsidR="00780894" w:rsidRPr="00780894" w:rsidRDefault="00780894" w:rsidP="00780894">
            <w:pPr>
              <w:suppressAutoHyphens w:val="0"/>
              <w:autoSpaceDN/>
              <w:spacing w:after="0"/>
              <w:ind w:left="95" w:right="-1"/>
              <w:jc w:val="both"/>
              <w:textAlignment w:val="auto"/>
              <w:rPr>
                <w:rFonts w:ascii="Century Gothic" w:eastAsia="Times New Roman" w:hAnsi="Century Gothic"/>
                <w:bCs/>
                <w:iCs/>
                <w:kern w:val="36"/>
                <w:sz w:val="18"/>
              </w:rPr>
            </w:pPr>
            <w:r w:rsidRPr="00780894">
              <w:rPr>
                <w:rFonts w:ascii="Century Gothic" w:eastAsia="Times New Roman" w:hAnsi="Century Gothic"/>
                <w:bCs/>
                <w:iCs/>
                <w:color w:val="000000"/>
                <w:kern w:val="36"/>
                <w:sz w:val="18"/>
                <w:szCs w:val="20"/>
              </w:rPr>
              <w:t> </w:t>
            </w:r>
          </w:p>
        </w:tc>
      </w:tr>
    </w:tbl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lang w:eastAsia="it-IT"/>
        </w:rPr>
        <w:t>Per i paesi del vecchio G6, nel periodo di crisi migliora le sue posizioni solo la Germania, mentre arretra (-6%) la Gran Bretagna. Questo è l’andamento</w:t>
      </w: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32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D0459" w:rsidRDefault="007D0459" w:rsidP="00780894">
      <w:pPr>
        <w:suppressAutoHyphens w:val="0"/>
        <w:autoSpaceDN/>
        <w:spacing w:after="0" w:line="320" w:lineRule="atLeast"/>
        <w:ind w:left="95" w:right="-1"/>
        <w:jc w:val="center"/>
        <w:textAlignment w:val="auto"/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</w:pP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center"/>
        <w:textAlignment w:val="auto"/>
        <w:rPr>
          <w:rFonts w:ascii="Century Gothic" w:eastAsia="Times New Roman" w:hAnsi="Century Gothic"/>
          <w:color w:val="000000"/>
          <w:lang w:eastAsia="it-IT"/>
        </w:rPr>
      </w:pPr>
      <w:bookmarkStart w:id="0" w:name="_GoBack"/>
      <w:bookmarkEnd w:id="0"/>
      <w:r w:rsidRPr="00780894">
        <w:rPr>
          <w:rFonts w:ascii="Century Gothic" w:eastAsia="Times New Roman" w:hAnsi="Century Gothic"/>
          <w:b/>
          <w:color w:val="000000"/>
          <w:sz w:val="24"/>
          <w:szCs w:val="24"/>
          <w:lang w:eastAsia="it-IT"/>
        </w:rPr>
        <w:t>TABELLA  7 -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5036"/>
      </w:tblGrid>
      <w:tr w:rsidR="00780894" w:rsidRPr="00780894" w:rsidTr="00780894">
        <w:tc>
          <w:tcPr>
            <w:tcW w:w="6049" w:type="dxa"/>
            <w:tcBorders>
              <w:top w:val="nil"/>
              <w:left w:val="nil"/>
              <w:bottom w:val="nil"/>
              <w:right w:val="single" w:sz="2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pPr w:leftFromText="141" w:rightFromText="141" w:bottomFromText="164" w:vertAnchor="text"/>
              <w:tblW w:w="5948" w:type="dxa"/>
              <w:tblCellSpacing w:w="0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4"/>
              <w:gridCol w:w="935"/>
              <w:gridCol w:w="873"/>
              <w:gridCol w:w="1509"/>
              <w:gridCol w:w="1107"/>
            </w:tblGrid>
            <w:tr w:rsidR="00780894" w:rsidRPr="00780894">
              <w:trPr>
                <w:trHeight w:val="284"/>
                <w:tblCellSpacing w:w="0" w:type="dxa"/>
              </w:trPr>
              <w:tc>
                <w:tcPr>
                  <w:tcW w:w="5948" w:type="dxa"/>
                  <w:gridSpan w:val="5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1126"/>
                    <w:jc w:val="center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5.A) Paesi del vecchio G6. Andamento della Capac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i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tà di spesa dal 2001  al 2012. Ns elaborazioni su d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a</w:t>
                  </w: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ti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Eurostat</w:t>
                  </w:r>
                  <w:proofErr w:type="spellEnd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.</w:t>
                  </w:r>
                </w:p>
              </w:tc>
            </w:tr>
            <w:tr w:rsidR="00780894" w:rsidRPr="00780894">
              <w:trPr>
                <w:trHeight w:val="87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 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2001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2012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2012/2001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225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18"/>
                      <w:szCs w:val="20"/>
                    </w:rPr>
                    <w:t>Italy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119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99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- 16, 8 %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Japan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115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105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- 8,7 %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U. Kingdom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120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110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- 8,3 %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France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116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108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- 6,9 %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UnitedStates</w:t>
                  </w:r>
                  <w:proofErr w:type="spellEnd"/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157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149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- 5,1 %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284"/>
                <w:tblCellSpacing w:w="0" w:type="dxa"/>
              </w:trPr>
              <w:tc>
                <w:tcPr>
                  <w:tcW w:w="152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Germany</w:t>
                  </w:r>
                </w:p>
              </w:tc>
              <w:tc>
                <w:tcPr>
                  <w:tcW w:w="935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116</w:t>
                  </w:r>
                </w:p>
              </w:tc>
              <w:tc>
                <w:tcPr>
                  <w:tcW w:w="87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122</w:t>
                  </w:r>
                </w:p>
              </w:tc>
              <w:tc>
                <w:tcPr>
                  <w:tcW w:w="1509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center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+ 5,2 %</w:t>
                  </w:r>
                </w:p>
              </w:tc>
              <w:tc>
                <w:tcPr>
                  <w:tcW w:w="1107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</w:tbl>
          <w:p w:rsidR="00780894" w:rsidRPr="00780894" w:rsidRDefault="00780894" w:rsidP="0078089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Century Gothic" w:hAnsi="Century Gothic"/>
                <w:bCs/>
                <w:iCs/>
                <w:kern w:val="36"/>
              </w:rPr>
            </w:pPr>
          </w:p>
        </w:tc>
        <w:tc>
          <w:tcPr>
            <w:tcW w:w="605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pPr w:leftFromText="141" w:rightFromText="141" w:bottomFromText="164" w:vertAnchor="text"/>
              <w:tblW w:w="6231" w:type="dxa"/>
              <w:tblCellSpacing w:w="0" w:type="dxa"/>
              <w:tblBorders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  <w:insideH w:val="single" w:sz="2" w:space="0" w:color="auto"/>
                <w:insideV w:val="single" w:sz="2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83"/>
              <w:gridCol w:w="934"/>
              <w:gridCol w:w="934"/>
              <w:gridCol w:w="1552"/>
              <w:gridCol w:w="1128"/>
            </w:tblGrid>
            <w:tr w:rsidR="00780894" w:rsidRPr="00780894">
              <w:trPr>
                <w:trHeight w:val="419"/>
                <w:tblCellSpacing w:w="0" w:type="dxa"/>
              </w:trPr>
              <w:tc>
                <w:tcPr>
                  <w:tcW w:w="6231" w:type="dxa"/>
                  <w:gridSpan w:val="5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134" w:right="1267"/>
                    <w:jc w:val="both"/>
                    <w:textAlignment w:val="auto"/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5.B) Paesi del vecchio G6. Andamento della Capacità di spesa dalla crisi dei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subprime</w:t>
                  </w:r>
                  <w:proofErr w:type="spellEnd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 (fine 2006) al 2012. Ns elaborazioni su dati </w:t>
                  </w:r>
                  <w:proofErr w:type="spellStart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Eurostat</w:t>
                  </w:r>
                  <w:proofErr w:type="spellEnd"/>
                  <w:r w:rsidRPr="00780894">
                    <w:rPr>
                      <w:rFonts w:ascii="Century Gothic" w:eastAsia="Times New Roman" w:hAnsi="Century Gothic"/>
                      <w:b/>
                      <w:iCs/>
                      <w:color w:val="000000"/>
                      <w:kern w:val="36"/>
                      <w:sz w:val="18"/>
                    </w:rPr>
                    <w:t>.</w:t>
                  </w:r>
                </w:p>
              </w:tc>
            </w:tr>
            <w:tr w:rsidR="00780894" w:rsidRPr="00780894">
              <w:trPr>
                <w:trHeight w:val="151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EAF1DD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2007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2012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2012/2007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76923C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color w:val="FFFFFF"/>
                      <w:kern w:val="36"/>
                      <w:sz w:val="18"/>
                    </w:rPr>
                    <w:t>….</w:t>
                  </w:r>
                </w:p>
              </w:tc>
            </w:tr>
            <w:tr w:rsidR="00780894" w:rsidRPr="00780894">
              <w:trPr>
                <w:trHeight w:val="170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U. Kingdom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117 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110 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- 6,0 %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160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color w:val="FF0000"/>
                      <w:kern w:val="36"/>
                      <w:sz w:val="18"/>
                      <w:szCs w:val="20"/>
                    </w:rPr>
                    <w:t>Italy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104 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99 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- 4,8 %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148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Japan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109 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105 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- 3,7 %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53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United</w:t>
                  </w:r>
                  <w:proofErr w:type="spellEnd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 </w:t>
                  </w:r>
                  <w:proofErr w:type="spellStart"/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States</w:t>
                  </w:r>
                  <w:proofErr w:type="spellEnd"/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152 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149 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- 2,0 %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BD4B4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  <w:lang w:val="en-US"/>
                    </w:rPr>
                    <w:t> </w:t>
                  </w:r>
                </w:p>
              </w:tc>
            </w:tr>
            <w:tr w:rsidR="00780894" w:rsidRPr="00780894">
              <w:trPr>
                <w:trHeight w:val="112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France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108 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108 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0,0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  <w:tr w:rsidR="00780894" w:rsidRPr="00780894">
              <w:trPr>
                <w:trHeight w:val="158"/>
                <w:tblCellSpacing w:w="0" w:type="dxa"/>
              </w:trPr>
              <w:tc>
                <w:tcPr>
                  <w:tcW w:w="1683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0"/>
                    </w:rPr>
                    <w:t>Germany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116 </w:t>
                  </w:r>
                </w:p>
              </w:tc>
              <w:tc>
                <w:tcPr>
                  <w:tcW w:w="934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vAlign w:val="center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  <w:t>122 </w:t>
                  </w:r>
                </w:p>
              </w:tc>
              <w:tc>
                <w:tcPr>
                  <w:tcW w:w="1552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FFFFFF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Times New Roman" w:eastAsia="Times New Roman" w:hAnsi="Times New Roman"/>
                      <w:bCs/>
                      <w:iCs/>
                      <w:kern w:val="36"/>
                      <w:sz w:val="18"/>
                      <w:szCs w:val="24"/>
                    </w:rPr>
                  </w:pPr>
                  <w:r w:rsidRPr="00780894">
                    <w:rPr>
                      <w:rFonts w:ascii="Times New Roman" w:eastAsia="Times New Roman" w:hAnsi="Times New Roman"/>
                      <w:b/>
                      <w:iCs/>
                      <w:kern w:val="36"/>
                      <w:sz w:val="18"/>
                      <w:szCs w:val="24"/>
                    </w:rPr>
                    <w:t>+ 5,2 %</w:t>
                  </w:r>
                </w:p>
              </w:tc>
              <w:tc>
                <w:tcPr>
                  <w:tcW w:w="1128" w:type="dxa"/>
                  <w:tcBorders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tcBorders>
                  <w:shd w:val="clear" w:color="auto" w:fill="C2D69B"/>
                  <w:hideMark/>
                </w:tcPr>
                <w:p w:rsidR="00780894" w:rsidRPr="00780894" w:rsidRDefault="00780894" w:rsidP="00780894">
                  <w:pPr>
                    <w:suppressAutoHyphens w:val="0"/>
                    <w:autoSpaceDN/>
                    <w:spacing w:after="0"/>
                    <w:ind w:left="95" w:right="-1"/>
                    <w:jc w:val="right"/>
                    <w:textAlignment w:val="auto"/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</w:pPr>
                  <w:r w:rsidRPr="00780894">
                    <w:rPr>
                      <w:rFonts w:ascii="Century Gothic" w:eastAsia="Times New Roman" w:hAnsi="Century Gothic"/>
                      <w:bCs/>
                      <w:iCs/>
                      <w:kern w:val="36"/>
                      <w:sz w:val="18"/>
                    </w:rPr>
                    <w:t> </w:t>
                  </w:r>
                </w:p>
              </w:tc>
            </w:tr>
          </w:tbl>
          <w:p w:rsidR="00780894" w:rsidRPr="00780894" w:rsidRDefault="00780894" w:rsidP="00780894">
            <w:pPr>
              <w:suppressAutoHyphens w:val="0"/>
              <w:autoSpaceDN/>
              <w:spacing w:after="0"/>
              <w:jc w:val="both"/>
              <w:textAlignment w:val="auto"/>
              <w:rPr>
                <w:rFonts w:ascii="Century Gothic" w:hAnsi="Century Gothic"/>
                <w:bCs/>
                <w:iCs/>
                <w:kern w:val="36"/>
              </w:rPr>
            </w:pPr>
          </w:p>
        </w:tc>
      </w:tr>
    </w:tbl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sz w:val="28"/>
          <w:szCs w:val="28"/>
          <w:lang w:eastAsia="it-IT"/>
        </w:rPr>
        <w:t> </w:t>
      </w:r>
    </w:p>
    <w:p w:rsidR="00780894" w:rsidRPr="00780894" w:rsidRDefault="00780894" w:rsidP="00780894">
      <w:pPr>
        <w:suppressAutoHyphens w:val="0"/>
        <w:autoSpaceDN/>
        <w:spacing w:after="0" w:line="320" w:lineRule="atLeast"/>
        <w:ind w:left="95" w:right="-1"/>
        <w:jc w:val="both"/>
        <w:textAlignment w:val="auto"/>
        <w:rPr>
          <w:rFonts w:ascii="Century Gothic" w:eastAsia="Times New Roman" w:hAnsi="Century Gothic"/>
          <w:color w:val="000000"/>
          <w:lang w:eastAsia="it-IT"/>
        </w:rPr>
      </w:pPr>
      <w:r w:rsidRPr="00780894">
        <w:rPr>
          <w:rFonts w:ascii="Century Gothic" w:eastAsia="Times New Roman" w:hAnsi="Century Gothic"/>
          <w:color w:val="000000"/>
          <w:sz w:val="28"/>
          <w:szCs w:val="28"/>
          <w:lang w:eastAsia="it-IT"/>
        </w:rPr>
        <w:t> </w:t>
      </w:r>
    </w:p>
    <w:p w:rsidR="00780894" w:rsidRPr="00984667" w:rsidRDefault="00780894" w:rsidP="00984667">
      <w:pPr>
        <w:pStyle w:val="Nessunaspaziatura"/>
        <w:jc w:val="both"/>
        <w:rPr>
          <w:sz w:val="24"/>
          <w:szCs w:val="24"/>
        </w:rPr>
      </w:pPr>
      <w:r w:rsidRPr="00780894">
        <w:rPr>
          <w:rFonts w:ascii="Century Gothic" w:hAnsi="Century Gothic"/>
          <w:sz w:val="20"/>
          <w:szCs w:val="20"/>
          <w:lang w:eastAsia="it-IT"/>
        </w:rPr>
        <w:t>Ela</w:t>
      </w:r>
      <w:r w:rsidR="00C81976">
        <w:rPr>
          <w:rFonts w:ascii="Century Gothic" w:hAnsi="Century Gothic"/>
          <w:sz w:val="20"/>
          <w:szCs w:val="20"/>
          <w:lang w:eastAsia="it-IT"/>
        </w:rPr>
        <w:t>borazioni Ufficio Studi Adusbef</w:t>
      </w:r>
      <w:r w:rsidR="007A6871">
        <w:rPr>
          <w:rFonts w:ascii="Century Gothic" w:hAnsi="Century Gothic"/>
          <w:sz w:val="20"/>
          <w:szCs w:val="20"/>
          <w:lang w:eastAsia="it-IT"/>
        </w:rPr>
        <w:t xml:space="preserve"> </w:t>
      </w:r>
      <w:r w:rsidRPr="00780894">
        <w:rPr>
          <w:rFonts w:ascii="Century Gothic" w:hAnsi="Century Gothic"/>
          <w:sz w:val="20"/>
          <w:szCs w:val="20"/>
          <w:lang w:eastAsia="it-IT"/>
        </w:rPr>
        <w:t>su dati ufficia</w:t>
      </w:r>
      <w:r w:rsidR="007A6871">
        <w:rPr>
          <w:rFonts w:ascii="Century Gothic" w:hAnsi="Century Gothic"/>
          <w:sz w:val="20"/>
          <w:szCs w:val="20"/>
          <w:lang w:eastAsia="it-IT"/>
        </w:rPr>
        <w:t xml:space="preserve">li </w:t>
      </w:r>
      <w:proofErr w:type="spellStart"/>
      <w:r w:rsidR="00C81976">
        <w:rPr>
          <w:rFonts w:ascii="Century Gothic" w:hAnsi="Century Gothic"/>
          <w:sz w:val="20"/>
          <w:szCs w:val="20"/>
          <w:lang w:eastAsia="it-IT"/>
        </w:rPr>
        <w:t>Eurostat</w:t>
      </w:r>
      <w:proofErr w:type="spellEnd"/>
      <w:r w:rsidR="007D0459">
        <w:rPr>
          <w:rFonts w:ascii="Century Gothic" w:hAnsi="Century Gothic"/>
          <w:sz w:val="20"/>
          <w:szCs w:val="20"/>
          <w:lang w:eastAsia="it-IT"/>
        </w:rPr>
        <w:t>, Istat, BCE.</w:t>
      </w:r>
      <w:r w:rsidR="007A6871">
        <w:rPr>
          <w:rFonts w:ascii="Century Gothic" w:hAnsi="Century Gothic"/>
          <w:sz w:val="20"/>
          <w:szCs w:val="20"/>
          <w:lang w:eastAsia="it-IT"/>
        </w:rPr>
        <w:t xml:space="preserve"> </w:t>
      </w:r>
    </w:p>
    <w:sectPr w:rsidR="00780894" w:rsidRPr="00984667" w:rsidSect="007D0459">
      <w:pgSz w:w="11906" w:h="16838"/>
      <w:pgMar w:top="1134" w:right="1134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88A" w:rsidRDefault="00FD388A">
      <w:pPr>
        <w:spacing w:after="0" w:line="240" w:lineRule="auto"/>
      </w:pPr>
      <w:r>
        <w:separator/>
      </w:r>
    </w:p>
  </w:endnote>
  <w:endnote w:type="continuationSeparator" w:id="0">
    <w:p w:rsidR="00FD388A" w:rsidRDefault="00FD38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88A" w:rsidRDefault="00FD388A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D388A" w:rsidRDefault="00FD38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C49C0"/>
    <w:rsid w:val="002242C3"/>
    <w:rsid w:val="00286D45"/>
    <w:rsid w:val="00292606"/>
    <w:rsid w:val="00334AB8"/>
    <w:rsid w:val="003C49C0"/>
    <w:rsid w:val="004131BA"/>
    <w:rsid w:val="005A1159"/>
    <w:rsid w:val="00780894"/>
    <w:rsid w:val="007A6871"/>
    <w:rsid w:val="007D0459"/>
    <w:rsid w:val="008620E9"/>
    <w:rsid w:val="00984667"/>
    <w:rsid w:val="00AB22BB"/>
    <w:rsid w:val="00BC3416"/>
    <w:rsid w:val="00C419CF"/>
    <w:rsid w:val="00C81976"/>
    <w:rsid w:val="00CD7341"/>
    <w:rsid w:val="00D80C1E"/>
    <w:rsid w:val="00FD3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984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846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846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9846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9846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984667"/>
    <w:pPr>
      <w:suppressAutoHyphens/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984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846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846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846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rsid w:val="00984667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link w:val="Titolo1Carattere"/>
    <w:uiPriority w:val="9"/>
    <w:qFormat/>
    <w:rsid w:val="009846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98466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98466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98466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unhideWhenUsed/>
    <w:qFormat/>
    <w:rsid w:val="0098466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984667"/>
    <w:pPr>
      <w:suppressAutoHyphens/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9846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846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98466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98466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rsid w:val="00984667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69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o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1278</Words>
  <Characters>7285</Characters>
  <Application>Microsoft Office Word</Application>
  <DocSecurity>0</DocSecurity>
  <Lines>60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Elio</dc:creator>
  <cp:lastModifiedBy>Mauro Novelli</cp:lastModifiedBy>
  <cp:revision>6</cp:revision>
  <dcterms:created xsi:type="dcterms:W3CDTF">2013-11-06T15:36:00Z</dcterms:created>
  <dcterms:modified xsi:type="dcterms:W3CDTF">2013-11-09T10:05:00Z</dcterms:modified>
</cp:coreProperties>
</file>