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3F8" w:rsidRDefault="008403F8" w:rsidP="008403F8">
      <w:pPr>
        <w:pStyle w:val="Nessunaspaziatura"/>
        <w:jc w:val="center"/>
      </w:pPr>
      <w:r>
        <w:t>COMUNICATO STAMPA</w:t>
      </w:r>
    </w:p>
    <w:p w:rsidR="008403F8" w:rsidRDefault="008403F8" w:rsidP="008403F8">
      <w:pPr>
        <w:pStyle w:val="Nessunaspaziatura"/>
      </w:pPr>
    </w:p>
    <w:p w:rsidR="008403F8" w:rsidRDefault="008403F8" w:rsidP="008403F8">
      <w:pPr>
        <w:pStyle w:val="Nessunaspaziatura"/>
        <w:jc w:val="center"/>
      </w:pPr>
      <w:r>
        <w:t>LEGGE DI STABILITA’: IL ‘GOVERNO ABI’ ESENTA LE RENDITE FINANZIARIE, GRAZIA LE BANCHE CON LA SVALUTAZIONE DEI CREDITI INESIGIBILI, STANGA I RISPARMIATORI CON IMPOSTA BOLLO RADDOPPIATA. IL FISCO PRELEVA DA TASCHE UTENTI E RISPARMIATORI IMPOSTE BOLLI PER 5,284 MILIARDI EURO L’ANNO.</w:t>
      </w:r>
    </w:p>
    <w:p w:rsidR="008403F8" w:rsidRDefault="008403F8" w:rsidP="008403F8">
      <w:pPr>
        <w:pStyle w:val="Nessunaspaziatura"/>
      </w:pPr>
    </w:p>
    <w:p w:rsidR="008403F8" w:rsidRDefault="008403F8" w:rsidP="008403F8">
      <w:pPr>
        <w:pStyle w:val="Nessunaspaziatura"/>
      </w:pPr>
      <w:r>
        <w:t xml:space="preserve">   E’ bastata un’alzata di sopracciglia dei banchieri </w:t>
      </w:r>
      <w:proofErr w:type="spellStart"/>
      <w:r>
        <w:t>dell’Abi</w:t>
      </w:r>
      <w:proofErr w:type="spellEnd"/>
      <w:r>
        <w:t>, per far abrogare dal testo delle legge di Stabilità l’aumento dell’aliquota fiscale sulle rendite finanziarie dal 20 al 22%, addossando i relativi oneri a correntisti e risparmiatori con il raddoppio secco, in soli 12 mesi, dell’aliquota sull’imposta di bollo sulla gestione titoli, che passando dall’1 per mille in vigore al 31 dicembre 2012,all’1,5 del 2013, al 2 per mille dal 1 gennaio 2014,  produrrà un gettito di 900 milioni in più.</w:t>
      </w:r>
    </w:p>
    <w:p w:rsidR="008403F8" w:rsidRDefault="008403F8" w:rsidP="008403F8">
      <w:pPr>
        <w:pStyle w:val="Nessunaspaziatura"/>
      </w:pPr>
      <w:r>
        <w:t>     L'imposta del bollo sui risparmi, che sta passano da una "mini-patrimoniale" quando è entrata in vigore nel 2012, ad una “maxi patrimoniale” con l’aumento previsto del 100% dal 1 gennaio 2014, dopo che nel 2013 ha subito aumenti di aliquote del 50% e senza tetti massimi, che erano di 1.200 euro, porterà nelle casse dello stato circa 3,6 miliardi di euro l’anno, oltre ai bolli sui conti correnti che daranno un gettito di 1,684 miliardi di euro a carico di correntisti e risparmiatori, già spremuti e vessati dalle banche. L'aumento non dovrebbe riguardare i conti correnti, che non rientrano tra gli "strumenti finanziari", per i quali resta l'imposta fissa a 34,20 euro l'anno, con l’esenzione dei conti con giacenze medie inferiori a 5.000 euro.</w:t>
      </w:r>
    </w:p>
    <w:p w:rsidR="008403F8" w:rsidRDefault="008403F8" w:rsidP="008403F8">
      <w:pPr>
        <w:pStyle w:val="Nessunaspaziatura"/>
      </w:pPr>
      <w:r>
        <w:t>   A pagare il conto della legge di stabilità saranno ancora una volta famiglie, risparmiatori, contribuenti e correntisti, costretti a subire costi dei conti correnti pari ad una media di 347 euro l’anno, contro 114 euro della media Ue, che oltre a versare ben 5,284 miliardi di euro per avere un conto corrente o una custodia titoli, subiranno ulteriori stangate anche dall’ammortizzazione dei crediti inesigibili svalutati, i cui costi di pulizia di bilancio che ammontano a 2,2 miliardi solo nel 2014,verranno sicuramente scaricati sui clienti.</w:t>
      </w:r>
    </w:p>
    <w:p w:rsidR="008403F8" w:rsidRDefault="008403F8" w:rsidP="008403F8">
      <w:pPr>
        <w:shd w:val="clear" w:color="auto" w:fill="FFFFFF"/>
        <w:spacing w:line="270" w:lineRule="atLeast"/>
        <w:jc w:val="left"/>
        <w:rPr>
          <w:rFonts w:ascii="Arial" w:hAnsi="Arial" w:cs="Arial"/>
          <w:b/>
          <w:bCs/>
          <w:color w:val="333333"/>
          <w:sz w:val="20"/>
          <w:szCs w:val="20"/>
        </w:rPr>
      </w:pPr>
      <w:r>
        <w:rPr>
          <w:rFonts w:ascii="Arial" w:hAnsi="Arial" w:cs="Arial"/>
          <w:b/>
          <w:bCs/>
          <w:color w:val="333333"/>
          <w:sz w:val="20"/>
          <w:szCs w:val="20"/>
        </w:rPr>
        <w:t>Ecco cosa cambia a partire dal 1 gennaio 2014 per le diverse forma di risparmio:</w:t>
      </w:r>
      <w:r>
        <w:rPr>
          <w:rFonts w:ascii="Arial" w:hAnsi="Arial" w:cs="Arial"/>
          <w:b/>
          <w:bCs/>
          <w:color w:val="333333"/>
          <w:sz w:val="20"/>
          <w:szCs w:val="20"/>
        </w:rPr>
        <w:br/>
        <w:t> </w:t>
      </w:r>
    </w:p>
    <w:tbl>
      <w:tblPr>
        <w:tblW w:w="5000" w:type="pct"/>
        <w:tblCellSpacing w:w="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4"/>
        <w:gridCol w:w="1286"/>
        <w:gridCol w:w="1705"/>
        <w:gridCol w:w="1705"/>
        <w:gridCol w:w="1942"/>
      </w:tblGrid>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bookmarkStart w:id="0" w:name="_GoBack"/>
            <w:r>
              <w:rPr>
                <w:rFonts w:ascii="Arial" w:hAnsi="Arial" w:cs="Arial"/>
                <w:color w:val="333333"/>
                <w:sz w:val="20"/>
                <w:szCs w:val="20"/>
              </w:rPr>
              <w:t> </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8403F8" w:rsidRDefault="008403F8">
            <w:pPr>
              <w:jc w:val="center"/>
              <w:rPr>
                <w:rFonts w:ascii="Arial" w:hAnsi="Arial" w:cs="Arial"/>
                <w:color w:val="333333"/>
                <w:sz w:val="20"/>
                <w:szCs w:val="20"/>
              </w:rPr>
            </w:pPr>
          </w:p>
          <w:p w:rsidR="008403F8" w:rsidRDefault="008403F8">
            <w:pPr>
              <w:jc w:val="center"/>
              <w:rPr>
                <w:rFonts w:ascii="Arial" w:hAnsi="Arial" w:cs="Arial"/>
                <w:color w:val="333333"/>
                <w:sz w:val="20"/>
                <w:szCs w:val="20"/>
              </w:rPr>
            </w:pPr>
            <w:r>
              <w:rPr>
                <w:rFonts w:ascii="Arial" w:hAnsi="Arial" w:cs="Arial"/>
                <w:color w:val="333333"/>
                <w:sz w:val="20"/>
                <w:szCs w:val="20"/>
              </w:rPr>
              <w:t>2012</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8403F8" w:rsidRDefault="008403F8">
            <w:pPr>
              <w:jc w:val="center"/>
              <w:rPr>
                <w:rFonts w:ascii="Arial" w:hAnsi="Arial" w:cs="Arial"/>
                <w:b/>
                <w:bCs/>
                <w:color w:val="333333"/>
                <w:sz w:val="20"/>
                <w:szCs w:val="20"/>
              </w:rPr>
            </w:pPr>
          </w:p>
          <w:p w:rsidR="008403F8" w:rsidRDefault="008403F8">
            <w:pPr>
              <w:jc w:val="center"/>
              <w:rPr>
                <w:rFonts w:ascii="Arial" w:hAnsi="Arial" w:cs="Arial"/>
                <w:color w:val="333333"/>
                <w:sz w:val="20"/>
                <w:szCs w:val="20"/>
              </w:rPr>
            </w:pPr>
            <w:r>
              <w:rPr>
                <w:rFonts w:ascii="Arial" w:hAnsi="Arial" w:cs="Arial"/>
                <w:b/>
                <w:bCs/>
                <w:color w:val="333333"/>
                <w:sz w:val="20"/>
                <w:szCs w:val="20"/>
              </w:rPr>
              <w:t>2013</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8403F8" w:rsidRDefault="008403F8">
            <w:pPr>
              <w:jc w:val="center"/>
              <w:rPr>
                <w:rFonts w:ascii="Arial" w:hAnsi="Arial" w:cs="Arial"/>
                <w:b/>
                <w:bCs/>
                <w:color w:val="333333"/>
                <w:sz w:val="20"/>
                <w:szCs w:val="20"/>
              </w:rPr>
            </w:pPr>
          </w:p>
          <w:p w:rsidR="008403F8" w:rsidRDefault="008403F8">
            <w:pPr>
              <w:jc w:val="center"/>
              <w:rPr>
                <w:rFonts w:ascii="Arial" w:hAnsi="Arial" w:cs="Arial"/>
                <w:b/>
                <w:bCs/>
                <w:color w:val="333333"/>
                <w:sz w:val="20"/>
                <w:szCs w:val="20"/>
              </w:rPr>
            </w:pPr>
            <w:r>
              <w:rPr>
                <w:rFonts w:ascii="Arial" w:hAnsi="Arial" w:cs="Arial"/>
                <w:b/>
                <w:bCs/>
                <w:color w:val="333333"/>
                <w:sz w:val="20"/>
                <w:szCs w:val="20"/>
              </w:rPr>
              <w:t>2014</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b/>
                <w:bCs/>
                <w:color w:val="333333"/>
                <w:sz w:val="18"/>
                <w:szCs w:val="18"/>
              </w:rPr>
            </w:pPr>
            <w:r>
              <w:rPr>
                <w:rFonts w:ascii="Arial" w:hAnsi="Arial" w:cs="Arial"/>
                <w:b/>
                <w:bCs/>
                <w:color w:val="333333"/>
                <w:sz w:val="18"/>
                <w:szCs w:val="18"/>
              </w:rPr>
              <w:t>Totale conti correnti bancari postali</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b/>
                <w:bCs/>
                <w:color w:val="333333"/>
                <w:sz w:val="20"/>
                <w:szCs w:val="20"/>
              </w:rPr>
              <w:t> Conti correnti bancari, postali *</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8403F8" w:rsidRDefault="008403F8">
            <w:pPr>
              <w:jc w:val="center"/>
              <w:rPr>
                <w:rFonts w:ascii="Arial" w:hAnsi="Arial" w:cs="Arial"/>
                <w:color w:val="333333"/>
                <w:sz w:val="20"/>
                <w:szCs w:val="20"/>
              </w:rPr>
            </w:pP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color w:val="333333"/>
                <w:sz w:val="20"/>
                <w:szCs w:val="20"/>
              </w:rPr>
            </w:pPr>
            <w:r>
              <w:rPr>
                <w:rFonts w:ascii="Arial" w:hAnsi="Arial" w:cs="Arial"/>
                <w:color w:val="333333"/>
                <w:sz w:val="20"/>
                <w:szCs w:val="20"/>
              </w:rPr>
              <w:t>39.800.000</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color w:val="333333"/>
                <w:sz w:val="20"/>
                <w:szCs w:val="20"/>
              </w:rPr>
              <w:t> - con giacenza media</w:t>
            </w:r>
            <w:r>
              <w:rPr>
                <w:rFonts w:ascii="Arial" w:hAnsi="Arial" w:cs="Arial"/>
                <w:b/>
                <w:bCs/>
                <w:color w:val="333333"/>
                <w:sz w:val="20"/>
                <w:szCs w:val="20"/>
              </w:rPr>
              <w:t xml:space="preserve"> inferiore a € 5.000</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esenti</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esenti</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esenti</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b/>
                <w:bCs/>
                <w:color w:val="333333"/>
                <w:sz w:val="20"/>
                <w:szCs w:val="20"/>
              </w:rPr>
            </w:pPr>
            <w:r>
              <w:rPr>
                <w:rFonts w:ascii="Arial" w:hAnsi="Arial" w:cs="Arial"/>
                <w:b/>
                <w:bCs/>
                <w:color w:val="333333"/>
                <w:sz w:val="20"/>
                <w:szCs w:val="20"/>
              </w:rPr>
              <w:t>9.800.000</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color w:val="333333"/>
                <w:sz w:val="20"/>
                <w:szCs w:val="20"/>
              </w:rPr>
              <w:t xml:space="preserve"> - con giacenza media </w:t>
            </w:r>
            <w:r>
              <w:rPr>
                <w:rFonts w:ascii="Arial" w:hAnsi="Arial" w:cs="Arial"/>
                <w:b/>
                <w:bCs/>
                <w:color w:val="333333"/>
                <w:sz w:val="20"/>
                <w:szCs w:val="20"/>
              </w:rPr>
              <w:t>superiore a € 5.000</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€ 34,20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 € 34,20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 € 34,20</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b/>
                <w:bCs/>
                <w:color w:val="333333"/>
                <w:sz w:val="20"/>
                <w:szCs w:val="20"/>
              </w:rPr>
            </w:pPr>
            <w:r>
              <w:rPr>
                <w:rFonts w:ascii="Arial" w:hAnsi="Arial" w:cs="Arial"/>
                <w:b/>
                <w:bCs/>
                <w:color w:val="333333"/>
                <w:sz w:val="20"/>
                <w:szCs w:val="20"/>
              </w:rPr>
              <w:t>30.000.000</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color w:val="333333"/>
                <w:sz w:val="20"/>
                <w:szCs w:val="20"/>
              </w:rPr>
              <w:t xml:space="preserve"> - intestati a </w:t>
            </w:r>
            <w:r>
              <w:rPr>
                <w:rFonts w:ascii="Arial" w:hAnsi="Arial" w:cs="Arial"/>
                <w:b/>
                <w:bCs/>
                <w:color w:val="333333"/>
                <w:sz w:val="20"/>
                <w:szCs w:val="20"/>
              </w:rPr>
              <w:t>persona giuridica</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€ 100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w:t>
            </w:r>
            <w:r>
              <w:rPr>
                <w:rFonts w:ascii="Arial" w:hAnsi="Arial" w:cs="Arial"/>
                <w:b/>
                <w:bCs/>
                <w:color w:val="333333"/>
                <w:sz w:val="20"/>
                <w:szCs w:val="20"/>
              </w:rPr>
              <w:t>€ 100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w:t>
            </w:r>
            <w:r>
              <w:rPr>
                <w:rFonts w:ascii="Arial" w:hAnsi="Arial" w:cs="Arial"/>
                <w:b/>
                <w:bCs/>
                <w:color w:val="333333"/>
                <w:sz w:val="20"/>
                <w:szCs w:val="20"/>
              </w:rPr>
              <w:t>€ 100</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color w:val="333333"/>
                <w:sz w:val="20"/>
                <w:szCs w:val="20"/>
              </w:rPr>
            </w:pPr>
            <w:r>
              <w:rPr>
                <w:rFonts w:ascii="Arial" w:hAnsi="Arial" w:cs="Arial"/>
                <w:color w:val="333333"/>
                <w:sz w:val="20"/>
                <w:szCs w:val="20"/>
              </w:rPr>
              <w:t>10.000.000</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b/>
                <w:bCs/>
                <w:color w:val="333333"/>
                <w:sz w:val="20"/>
                <w:szCs w:val="20"/>
              </w:rPr>
              <w:t> Certificati di deposito</w:t>
            </w:r>
            <w:r>
              <w:rPr>
                <w:rFonts w:ascii="Arial" w:hAnsi="Arial" w:cs="Arial"/>
                <w:b/>
                <w:bCs/>
                <w:color w:val="333333"/>
                <w:sz w:val="20"/>
                <w:szCs w:val="20"/>
              </w:rPr>
              <w:br/>
              <w:t xml:space="preserve"> Dossier titoli </w:t>
            </w:r>
            <w:r>
              <w:rPr>
                <w:rFonts w:ascii="Arial" w:hAnsi="Arial" w:cs="Arial"/>
                <w:color w:val="333333"/>
                <w:sz w:val="20"/>
                <w:szCs w:val="20"/>
              </w:rPr>
              <w:t>(sul valore di mercato al momento del prelievo)</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 0,10%</w:t>
            </w:r>
            <w:r>
              <w:rPr>
                <w:rFonts w:ascii="Arial" w:hAnsi="Arial" w:cs="Arial"/>
                <w:color w:val="333333"/>
                <w:sz w:val="20"/>
                <w:szCs w:val="20"/>
              </w:rPr>
              <w:br/>
            </w:r>
            <w:proofErr w:type="spellStart"/>
            <w:r>
              <w:rPr>
                <w:rFonts w:ascii="Arial" w:hAnsi="Arial" w:cs="Arial"/>
                <w:color w:val="333333"/>
                <w:sz w:val="20"/>
                <w:szCs w:val="20"/>
              </w:rPr>
              <w:t>min</w:t>
            </w:r>
            <w:proofErr w:type="spellEnd"/>
            <w:r>
              <w:rPr>
                <w:rFonts w:ascii="Arial" w:hAnsi="Arial" w:cs="Arial"/>
                <w:color w:val="333333"/>
                <w:sz w:val="20"/>
                <w:szCs w:val="20"/>
              </w:rPr>
              <w:t>: € 34,02</w:t>
            </w:r>
            <w:r>
              <w:rPr>
                <w:rFonts w:ascii="Arial" w:hAnsi="Arial" w:cs="Arial"/>
                <w:color w:val="333333"/>
                <w:sz w:val="20"/>
                <w:szCs w:val="20"/>
              </w:rPr>
              <w:br/>
            </w:r>
            <w:proofErr w:type="spellStart"/>
            <w:r>
              <w:rPr>
                <w:rFonts w:ascii="Arial" w:hAnsi="Arial" w:cs="Arial"/>
                <w:color w:val="333333"/>
                <w:sz w:val="20"/>
                <w:szCs w:val="20"/>
              </w:rPr>
              <w:t>max</w:t>
            </w:r>
            <w:proofErr w:type="spellEnd"/>
            <w:r>
              <w:rPr>
                <w:rFonts w:ascii="Arial" w:hAnsi="Arial" w:cs="Arial"/>
                <w:color w:val="333333"/>
                <w:sz w:val="20"/>
                <w:szCs w:val="20"/>
              </w:rPr>
              <w:t>: € 1.200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0,15%</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 xml:space="preserve">nessun tetto </w:t>
            </w:r>
            <w:proofErr w:type="spellStart"/>
            <w:r>
              <w:rPr>
                <w:rFonts w:ascii="Arial" w:hAnsi="Arial" w:cs="Arial"/>
                <w:b/>
                <w:bCs/>
                <w:color w:val="333333"/>
                <w:sz w:val="20"/>
                <w:szCs w:val="20"/>
              </w:rPr>
              <w:t>max</w:t>
            </w:r>
            <w:proofErr w:type="spellEnd"/>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0,20%</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 xml:space="preserve">nessun tetto </w:t>
            </w:r>
            <w:proofErr w:type="spellStart"/>
            <w:r>
              <w:rPr>
                <w:rFonts w:ascii="Arial" w:hAnsi="Arial" w:cs="Arial"/>
                <w:b/>
                <w:bCs/>
                <w:color w:val="333333"/>
                <w:sz w:val="20"/>
                <w:szCs w:val="20"/>
              </w:rPr>
              <w:t>max</w:t>
            </w:r>
            <w:proofErr w:type="spellEnd"/>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b/>
                <w:bCs/>
                <w:color w:val="333333"/>
                <w:sz w:val="20"/>
                <w:szCs w:val="20"/>
              </w:rPr>
            </w:pPr>
            <w:r>
              <w:rPr>
                <w:rFonts w:ascii="Arial" w:hAnsi="Arial" w:cs="Arial"/>
                <w:b/>
                <w:bCs/>
                <w:color w:val="333333"/>
                <w:sz w:val="20"/>
                <w:szCs w:val="20"/>
              </w:rPr>
              <w:t>Gettito annuo persone giuridiche</w:t>
            </w:r>
          </w:p>
          <w:p w:rsidR="008403F8" w:rsidRDefault="008403F8">
            <w:pPr>
              <w:jc w:val="center"/>
              <w:rPr>
                <w:rFonts w:ascii="Arial" w:hAnsi="Arial" w:cs="Arial"/>
                <w:b/>
                <w:bCs/>
                <w:color w:val="333333"/>
                <w:sz w:val="20"/>
                <w:szCs w:val="20"/>
              </w:rPr>
            </w:pPr>
            <w:r>
              <w:rPr>
                <w:rFonts w:ascii="Arial" w:hAnsi="Arial" w:cs="Arial"/>
                <w:b/>
                <w:bCs/>
                <w:color w:val="333333"/>
                <w:sz w:val="20"/>
                <w:szCs w:val="20"/>
              </w:rPr>
              <w:t xml:space="preserve">Bollo € 1 miliardo </w:t>
            </w:r>
          </w:p>
        </w:tc>
      </w:tr>
      <w:tr w:rsidR="008403F8" w:rsidTr="008403F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rPr>
                <w:rFonts w:ascii="Arial" w:hAnsi="Arial" w:cs="Arial"/>
                <w:color w:val="333333"/>
                <w:sz w:val="20"/>
                <w:szCs w:val="20"/>
              </w:rPr>
            </w:pPr>
            <w:r>
              <w:rPr>
                <w:rFonts w:ascii="Arial" w:hAnsi="Arial" w:cs="Arial"/>
                <w:b/>
                <w:bCs/>
                <w:color w:val="333333"/>
                <w:sz w:val="20"/>
                <w:szCs w:val="20"/>
              </w:rPr>
              <w:t> Buoni postali</w:t>
            </w:r>
            <w:r>
              <w:rPr>
                <w:rFonts w:ascii="Arial" w:hAnsi="Arial" w:cs="Arial"/>
                <w:b/>
                <w:bCs/>
                <w:color w:val="333333"/>
                <w:sz w:val="20"/>
                <w:szCs w:val="20"/>
              </w:rPr>
              <w:br/>
              <w:t> </w:t>
            </w:r>
            <w:r>
              <w:rPr>
                <w:rFonts w:ascii="Arial" w:hAnsi="Arial" w:cs="Arial"/>
                <w:color w:val="333333"/>
                <w:sz w:val="20"/>
                <w:szCs w:val="20"/>
              </w:rPr>
              <w:t>(</w:t>
            </w:r>
            <w:r>
              <w:rPr>
                <w:rFonts w:ascii="Arial" w:hAnsi="Arial" w:cs="Arial"/>
                <w:b/>
                <w:bCs/>
                <w:color w:val="333333"/>
                <w:sz w:val="20"/>
                <w:szCs w:val="20"/>
              </w:rPr>
              <w:t xml:space="preserve">esenti </w:t>
            </w:r>
            <w:r>
              <w:rPr>
                <w:rFonts w:ascii="Arial" w:hAnsi="Arial" w:cs="Arial"/>
                <w:color w:val="333333"/>
                <w:sz w:val="20"/>
                <w:szCs w:val="20"/>
              </w:rPr>
              <w:t xml:space="preserve">se complessivamente </w:t>
            </w:r>
            <w:r>
              <w:rPr>
                <w:rFonts w:ascii="Arial" w:hAnsi="Arial" w:cs="Arial"/>
                <w:b/>
                <w:bCs/>
                <w:color w:val="333333"/>
                <w:sz w:val="20"/>
                <w:szCs w:val="20"/>
              </w:rPr>
              <w:t>inferiori a € 5.000</w:t>
            </w:r>
            <w:r>
              <w:rPr>
                <w:rFonts w:ascii="Arial" w:hAnsi="Arial" w:cs="Arial"/>
                <w:color w:val="333333"/>
                <w:sz w:val="20"/>
                <w:szCs w:val="20"/>
              </w:rPr>
              <w:t>)</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color w:val="333333"/>
                <w:sz w:val="20"/>
                <w:szCs w:val="20"/>
              </w:rPr>
              <w:t>0,10%</w:t>
            </w:r>
            <w:r>
              <w:rPr>
                <w:rFonts w:ascii="Arial" w:hAnsi="Arial" w:cs="Arial"/>
                <w:color w:val="333333"/>
                <w:sz w:val="20"/>
                <w:szCs w:val="20"/>
              </w:rPr>
              <w:br/>
            </w:r>
            <w:proofErr w:type="spellStart"/>
            <w:r>
              <w:rPr>
                <w:rFonts w:ascii="Arial" w:hAnsi="Arial" w:cs="Arial"/>
                <w:color w:val="333333"/>
                <w:sz w:val="20"/>
                <w:szCs w:val="20"/>
              </w:rPr>
              <w:t>min</w:t>
            </w:r>
            <w:proofErr w:type="spellEnd"/>
            <w:r>
              <w:rPr>
                <w:rFonts w:ascii="Arial" w:hAnsi="Arial" w:cs="Arial"/>
                <w:color w:val="333333"/>
                <w:sz w:val="20"/>
                <w:szCs w:val="20"/>
              </w:rPr>
              <w:t>: € 34,02</w:t>
            </w:r>
            <w:r>
              <w:rPr>
                <w:rFonts w:ascii="Arial" w:hAnsi="Arial" w:cs="Arial"/>
                <w:color w:val="333333"/>
                <w:sz w:val="20"/>
                <w:szCs w:val="20"/>
              </w:rPr>
              <w:br/>
            </w:r>
            <w:proofErr w:type="spellStart"/>
            <w:r>
              <w:rPr>
                <w:rFonts w:ascii="Arial" w:hAnsi="Arial" w:cs="Arial"/>
                <w:color w:val="333333"/>
                <w:sz w:val="20"/>
                <w:szCs w:val="20"/>
              </w:rPr>
              <w:t>max</w:t>
            </w:r>
            <w:proofErr w:type="spellEnd"/>
            <w:r>
              <w:rPr>
                <w:rFonts w:ascii="Arial" w:hAnsi="Arial" w:cs="Arial"/>
                <w:color w:val="333333"/>
                <w:sz w:val="20"/>
                <w:szCs w:val="20"/>
              </w:rPr>
              <w:t>: € 1.200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0,15%</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 xml:space="preserve">nessun tetto </w:t>
            </w:r>
            <w:proofErr w:type="spellStart"/>
            <w:r>
              <w:rPr>
                <w:rFonts w:ascii="Arial" w:hAnsi="Arial" w:cs="Arial"/>
                <w:b/>
                <w:bCs/>
                <w:color w:val="333333"/>
                <w:sz w:val="20"/>
                <w:szCs w:val="20"/>
              </w:rPr>
              <w:t>max</w:t>
            </w:r>
            <w:proofErr w:type="spellEnd"/>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403F8" w:rsidRDefault="008403F8">
            <w:pPr>
              <w:jc w:val="center"/>
              <w:rPr>
                <w:rFonts w:ascii="Arial" w:hAnsi="Arial" w:cs="Arial"/>
                <w:color w:val="333333"/>
                <w:sz w:val="20"/>
                <w:szCs w:val="20"/>
              </w:rPr>
            </w:pPr>
            <w:r>
              <w:rPr>
                <w:rFonts w:ascii="Arial" w:hAnsi="Arial" w:cs="Arial"/>
                <w:b/>
                <w:bCs/>
                <w:color w:val="333333"/>
                <w:sz w:val="20"/>
                <w:szCs w:val="20"/>
              </w:rPr>
              <w:t>0,20%</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 xml:space="preserve">nessun tetto </w:t>
            </w:r>
            <w:proofErr w:type="spellStart"/>
            <w:r>
              <w:rPr>
                <w:rFonts w:ascii="Arial" w:hAnsi="Arial" w:cs="Arial"/>
                <w:b/>
                <w:bCs/>
                <w:color w:val="333333"/>
                <w:sz w:val="20"/>
                <w:szCs w:val="20"/>
              </w:rPr>
              <w:t>max</w:t>
            </w:r>
            <w:proofErr w:type="spellEnd"/>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8403F8" w:rsidRDefault="008403F8">
            <w:pPr>
              <w:jc w:val="center"/>
              <w:rPr>
                <w:rFonts w:ascii="Arial" w:hAnsi="Arial" w:cs="Arial"/>
                <w:b/>
                <w:bCs/>
                <w:color w:val="333333"/>
                <w:sz w:val="20"/>
                <w:szCs w:val="20"/>
              </w:rPr>
            </w:pPr>
            <w:r>
              <w:rPr>
                <w:rFonts w:ascii="Arial" w:hAnsi="Arial" w:cs="Arial"/>
                <w:b/>
                <w:bCs/>
                <w:color w:val="333333"/>
                <w:sz w:val="20"/>
                <w:szCs w:val="20"/>
              </w:rPr>
              <w:t>Gettito annuo persone fisiche</w:t>
            </w:r>
          </w:p>
          <w:p w:rsidR="008403F8" w:rsidRDefault="008403F8">
            <w:pPr>
              <w:jc w:val="center"/>
              <w:rPr>
                <w:rFonts w:ascii="Arial" w:hAnsi="Arial" w:cs="Arial"/>
                <w:b/>
                <w:bCs/>
                <w:color w:val="333333"/>
                <w:sz w:val="20"/>
                <w:szCs w:val="20"/>
              </w:rPr>
            </w:pPr>
            <w:r>
              <w:rPr>
                <w:rFonts w:ascii="Arial" w:hAnsi="Arial" w:cs="Arial"/>
                <w:b/>
                <w:bCs/>
                <w:color w:val="333333"/>
                <w:sz w:val="20"/>
                <w:szCs w:val="20"/>
              </w:rPr>
              <w:t>Bollo € 684 milioni</w:t>
            </w:r>
          </w:p>
        </w:tc>
      </w:tr>
    </w:tbl>
    <w:bookmarkEnd w:id="0"/>
    <w:p w:rsidR="008403F8" w:rsidRDefault="008403F8" w:rsidP="008403F8">
      <w:pPr>
        <w:pStyle w:val="Nessunaspaziatura"/>
        <w:rPr>
          <w:rFonts w:ascii="Arial" w:hAnsi="Arial" w:cs="Arial"/>
          <w:i/>
          <w:iCs/>
          <w:color w:val="333333"/>
          <w:sz w:val="20"/>
          <w:szCs w:val="20"/>
        </w:rPr>
      </w:pPr>
      <w:r>
        <w:rPr>
          <w:rFonts w:ascii="Arial" w:hAnsi="Arial" w:cs="Arial"/>
          <w:color w:val="333333"/>
          <w:sz w:val="20"/>
          <w:szCs w:val="20"/>
        </w:rPr>
        <w:t xml:space="preserve">*Ai conti correnti bancari (32 milioni) e postali (6milioni) si devono aggiungere i libretti di risparmio ed i buoni postali fruttiferi (1,5 milioni) </w:t>
      </w:r>
      <w:r>
        <w:rPr>
          <w:rFonts w:ascii="Arial" w:hAnsi="Arial" w:cs="Arial"/>
          <w:i/>
          <w:iCs/>
          <w:color w:val="333333"/>
          <w:sz w:val="20"/>
          <w:szCs w:val="20"/>
        </w:rPr>
        <w:t>Fonte: stime ed elaborazioni Adusbef su dati ufficiali.</w:t>
      </w:r>
    </w:p>
    <w:p w:rsidR="008403F8" w:rsidRDefault="008403F8" w:rsidP="008403F8">
      <w:pPr>
        <w:pStyle w:val="Nessunaspaziatura"/>
        <w:rPr>
          <w:rFonts w:ascii="Calibri" w:hAnsi="Calibri"/>
          <w:color w:val="auto"/>
          <w:sz w:val="22"/>
          <w:szCs w:val="22"/>
          <w:lang w:eastAsia="en-US"/>
        </w:rPr>
      </w:pPr>
      <w:r>
        <w:t xml:space="preserve">  </w:t>
      </w:r>
    </w:p>
    <w:p w:rsidR="008403F8" w:rsidRDefault="008403F8" w:rsidP="008403F8">
      <w:pPr>
        <w:pStyle w:val="Nessunaspaziatura"/>
      </w:pPr>
      <w:r>
        <w:t xml:space="preserve"> L'imposta di bollo sulle comunicazioni periodiche applicabile agli estratti di conto corrente, ai rendiconti dei libretti di risparmio ed alle comunicazioni relative ai prodotti finanziari – Articolo 13, commi 2-bis e 2-ter, della Tariffa, allegata al DPR 26 ottobre 1972, n. 642 –come chiarita dalla Circolare dell’Agenzia delle Entrate del 10 maggio 2013-  è calcolata sulla somma del valore di tutti i prodotti intestati a uno stesso cliente presso il medesimo istituto (banca o compagnia assicurativa), si calcola sul capitale e si paga in un'unica soluzione in presenza di un solo invio annuale, oppure suddiviso per il numero di comunicazioni inviate nell'anno. </w:t>
      </w:r>
    </w:p>
    <w:p w:rsidR="008403F8" w:rsidRDefault="008403F8" w:rsidP="008403F8">
      <w:pPr>
        <w:pStyle w:val="Nessunaspaziatura"/>
      </w:pPr>
      <w:r>
        <w:t>    Adusbef e Federconsumatori, deluse da una “manovrina” che continua a premiare la mano morta dei banchieri, non stabilizza alcuna  prospettiva di sviluppo per famiglie e consumatori massacrati.</w:t>
      </w:r>
    </w:p>
    <w:p w:rsidR="008403F8" w:rsidRDefault="008403F8" w:rsidP="008403F8">
      <w:pPr>
        <w:pStyle w:val="Nessunaspaziatura"/>
      </w:pPr>
    </w:p>
    <w:p w:rsidR="008403F8" w:rsidRDefault="008403F8" w:rsidP="008403F8">
      <w:pPr>
        <w:pStyle w:val="Nessunaspaziatura"/>
      </w:pPr>
      <w:r>
        <w:t xml:space="preserve">                                                                                 Elio Lannutti (Adusbef) – Rosario </w:t>
      </w:r>
      <w:proofErr w:type="spellStart"/>
      <w:r>
        <w:t>Trefiletti</w:t>
      </w:r>
      <w:proofErr w:type="spellEnd"/>
      <w:r>
        <w:t xml:space="preserve"> (Federconsumatori)</w:t>
      </w:r>
    </w:p>
    <w:p w:rsidR="008403F8" w:rsidRDefault="008403F8" w:rsidP="008403F8">
      <w:pPr>
        <w:pStyle w:val="Nessunaspaziatura"/>
      </w:pPr>
      <w:r>
        <w:t>Roma,16.10.2013</w:t>
      </w:r>
    </w:p>
    <w:p w:rsidR="008403F8" w:rsidRDefault="008403F8" w:rsidP="008403F8"/>
    <w:p w:rsidR="008403F8" w:rsidRDefault="008403F8">
      <w:r>
        <w:br w:type="page"/>
      </w:r>
    </w:p>
    <w:tbl>
      <w:tblPr>
        <w:tblW w:w="15500" w:type="dxa"/>
        <w:tblInd w:w="-15" w:type="dxa"/>
        <w:tblCellMar>
          <w:left w:w="70" w:type="dxa"/>
          <w:right w:w="70" w:type="dxa"/>
        </w:tblCellMar>
        <w:tblLook w:val="04A0" w:firstRow="1" w:lastRow="0" w:firstColumn="1" w:lastColumn="0" w:noHBand="0" w:noVBand="1"/>
      </w:tblPr>
      <w:tblGrid>
        <w:gridCol w:w="3900"/>
        <w:gridCol w:w="3020"/>
        <w:gridCol w:w="960"/>
        <w:gridCol w:w="960"/>
        <w:gridCol w:w="3900"/>
        <w:gridCol w:w="2760"/>
      </w:tblGrid>
      <w:tr w:rsidR="00066DE4" w:rsidTr="008403F8">
        <w:trPr>
          <w:trHeight w:val="360"/>
        </w:trPr>
        <w:tc>
          <w:tcPr>
            <w:tcW w:w="6920" w:type="dxa"/>
            <w:gridSpan w:val="2"/>
            <w:noWrap/>
            <w:vAlign w:val="bottom"/>
            <w:hideMark/>
          </w:tcPr>
          <w:p w:rsidR="00066DE4" w:rsidRDefault="00873D9B">
            <w:pPr>
              <w:spacing w:line="276" w:lineRule="auto"/>
              <w:jc w:val="center"/>
              <w:rPr>
                <w:rFonts w:ascii="Calibri" w:eastAsia="Times New Roman" w:hAnsi="Calibri"/>
                <w:b/>
                <w:color w:val="000000"/>
                <w:sz w:val="28"/>
                <w:szCs w:val="28"/>
                <w:lang w:eastAsia="en-US"/>
              </w:rPr>
            </w:pPr>
            <w:r>
              <w:rPr>
                <w:rFonts w:ascii="Calibri" w:eastAsia="Times New Roman" w:hAnsi="Calibri"/>
                <w:b/>
                <w:color w:val="000000"/>
                <w:sz w:val="28"/>
                <w:szCs w:val="28"/>
                <w:lang w:eastAsia="en-US"/>
              </w:rPr>
              <w:t>casa di proprietà</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6660" w:type="dxa"/>
            <w:gridSpan w:val="2"/>
            <w:noWrap/>
            <w:vAlign w:val="bottom"/>
            <w:hideMark/>
          </w:tcPr>
          <w:p w:rsidR="00066DE4" w:rsidRDefault="00873D9B">
            <w:pPr>
              <w:spacing w:line="276" w:lineRule="auto"/>
              <w:jc w:val="center"/>
              <w:rPr>
                <w:rFonts w:ascii="Calibri" w:eastAsia="Times New Roman" w:hAnsi="Calibri"/>
                <w:b/>
                <w:color w:val="000000"/>
                <w:sz w:val="28"/>
                <w:szCs w:val="28"/>
                <w:lang w:eastAsia="en-US"/>
              </w:rPr>
            </w:pPr>
            <w:r>
              <w:rPr>
                <w:rFonts w:ascii="Calibri" w:eastAsia="Times New Roman" w:hAnsi="Calibri"/>
                <w:b/>
                <w:color w:val="000000"/>
                <w:sz w:val="28"/>
                <w:szCs w:val="28"/>
                <w:lang w:eastAsia="en-US"/>
              </w:rPr>
              <w:t>casa in affitto</w:t>
            </w: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 xml:space="preserve">Dipendente pubblico </w:t>
            </w:r>
          </w:p>
        </w:tc>
        <w:tc>
          <w:tcPr>
            <w:tcW w:w="302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 xml:space="preserve">Dipendente pubblico </w:t>
            </w:r>
          </w:p>
        </w:tc>
        <w:tc>
          <w:tcPr>
            <w:tcW w:w="276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r>
      <w:tr w:rsidR="00066DE4" w:rsidTr="008403F8">
        <w:trPr>
          <w:trHeight w:val="1050"/>
        </w:trPr>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famiglia di 3 persone       1 casa di proprietà 100 metri quadri in area urbana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famiglia di 3 persone       casa in affitto 100 metri quadri in area urbana</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r>
      <w:tr w:rsidR="00066DE4" w:rsidTr="008403F8">
        <w:trPr>
          <w:trHeight w:val="255"/>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Cuneo fiscale</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xml:space="preserve"> €                                              98,00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Cuneo fiscale</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xml:space="preserve"> €                                         98,00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xml:space="preserve">Blocco stipendio </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343,00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xml:space="preserve">Blocco stipendio </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343,00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345,00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264,00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Imu</w:t>
            </w:r>
            <w:proofErr w:type="spellEnd"/>
            <w:r>
              <w:rPr>
                <w:rFonts w:ascii="Calibri" w:eastAsia="Times New Roman" w:hAnsi="Calibri"/>
                <w:color w:val="000000"/>
                <w:sz w:val="22"/>
                <w:szCs w:val="22"/>
                <w:lang w:eastAsia="en-US"/>
              </w:rPr>
              <w:t xml:space="preserve"> (2 rata)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155,00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w:t>
            </w:r>
          </w:p>
        </w:tc>
      </w:tr>
      <w:tr w:rsidR="00066DE4" w:rsidTr="008403F8">
        <w:trPr>
          <w:trHeight w:val="288"/>
        </w:trPr>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302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761,00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276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525,00 </w:t>
            </w: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Lavoratore dipendente</w:t>
            </w:r>
          </w:p>
        </w:tc>
        <w:tc>
          <w:tcPr>
            <w:tcW w:w="302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Lavoratore dipendente</w:t>
            </w:r>
          </w:p>
        </w:tc>
        <w:tc>
          <w:tcPr>
            <w:tcW w:w="276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r>
      <w:tr w:rsidR="00066DE4" w:rsidTr="008403F8">
        <w:trPr>
          <w:trHeight w:val="864"/>
        </w:trPr>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famiglia di 3 persone       1 casa di proprietà 100 metri quadri in area urbana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famiglia di 3 persone       casa in affitto 100 metri quadri in area urbana</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Cuneo fiscale</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sz w:val="22"/>
                <w:szCs w:val="22"/>
                <w:lang w:eastAsia="en-US"/>
              </w:rPr>
            </w:pPr>
            <w:r>
              <w:rPr>
                <w:rFonts w:ascii="Calibri" w:eastAsia="Times New Roman" w:hAnsi="Calibri"/>
                <w:sz w:val="22"/>
                <w:szCs w:val="22"/>
                <w:lang w:eastAsia="en-US"/>
              </w:rPr>
              <w:t xml:space="preserve"> €                                              98,00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Cuneo fiscale</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sz w:val="22"/>
                <w:szCs w:val="22"/>
                <w:lang w:eastAsia="en-US"/>
              </w:rPr>
            </w:pPr>
            <w:r>
              <w:rPr>
                <w:rFonts w:ascii="Calibri" w:eastAsia="Times New Roman" w:hAnsi="Calibri"/>
                <w:sz w:val="22"/>
                <w:szCs w:val="22"/>
                <w:lang w:eastAsia="en-US"/>
              </w:rPr>
              <w:t xml:space="preserve"> €                                         98,00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345,00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264,00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Imu</w:t>
            </w:r>
            <w:proofErr w:type="spellEnd"/>
            <w:r>
              <w:rPr>
                <w:rFonts w:ascii="Calibri" w:eastAsia="Times New Roman" w:hAnsi="Calibri"/>
                <w:color w:val="000000"/>
                <w:sz w:val="22"/>
                <w:szCs w:val="22"/>
                <w:lang w:eastAsia="en-US"/>
              </w:rPr>
              <w:t xml:space="preserve"> (2 rata)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155,00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w:t>
            </w:r>
          </w:p>
        </w:tc>
      </w:tr>
      <w:tr w:rsidR="00066DE4" w:rsidTr="008403F8">
        <w:trPr>
          <w:trHeight w:val="288"/>
        </w:trPr>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302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418,00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276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182,00 </w:t>
            </w: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noWrap/>
            <w:vAlign w:val="bottom"/>
            <w:hideMark/>
          </w:tcPr>
          <w:p w:rsidR="00066DE4" w:rsidRDefault="00066DE4">
            <w:pPr>
              <w:spacing w:line="276" w:lineRule="auto"/>
              <w:rPr>
                <w:bCs/>
                <w:iCs/>
                <w:kern w:val="36"/>
                <w:sz w:val="22"/>
                <w:szCs w:val="22"/>
                <w:lang w:eastAsia="en-US"/>
              </w:rPr>
            </w:pPr>
          </w:p>
        </w:tc>
        <w:tc>
          <w:tcPr>
            <w:tcW w:w="302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noWrap/>
            <w:vAlign w:val="bottom"/>
            <w:hideMark/>
          </w:tcPr>
          <w:p w:rsidR="00066DE4" w:rsidRDefault="00066DE4">
            <w:pPr>
              <w:spacing w:line="276" w:lineRule="auto"/>
              <w:rPr>
                <w:bCs/>
                <w:iCs/>
                <w:kern w:val="36"/>
                <w:sz w:val="22"/>
                <w:szCs w:val="22"/>
                <w:lang w:eastAsia="en-US"/>
              </w:rPr>
            </w:pPr>
          </w:p>
        </w:tc>
        <w:tc>
          <w:tcPr>
            <w:tcW w:w="2760" w:type="dxa"/>
            <w:noWrap/>
            <w:vAlign w:val="bottom"/>
            <w:hideMark/>
          </w:tcPr>
          <w:p w:rsidR="00066DE4" w:rsidRDefault="00066DE4">
            <w:pPr>
              <w:spacing w:line="276" w:lineRule="auto"/>
              <w:rPr>
                <w:bCs/>
                <w:iCs/>
                <w:kern w:val="36"/>
                <w:sz w:val="22"/>
                <w:szCs w:val="22"/>
                <w:lang w:eastAsia="en-US"/>
              </w:rPr>
            </w:pPr>
          </w:p>
        </w:tc>
      </w:tr>
      <w:tr w:rsidR="00066DE4" w:rsidTr="008403F8">
        <w:trPr>
          <w:trHeight w:val="288"/>
        </w:trPr>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Pensionato (3200 € al mese)</w:t>
            </w:r>
          </w:p>
        </w:tc>
        <w:tc>
          <w:tcPr>
            <w:tcW w:w="302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single" w:sz="4" w:space="0" w:color="auto"/>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Pensionato (3200 € al mese)</w:t>
            </w:r>
          </w:p>
        </w:tc>
        <w:tc>
          <w:tcPr>
            <w:tcW w:w="2760" w:type="dxa"/>
            <w:tcBorders>
              <w:top w:val="single" w:sz="4" w:space="0" w:color="auto"/>
              <w:left w:val="nil"/>
              <w:bottom w:val="nil"/>
              <w:right w:val="single" w:sz="4" w:space="0" w:color="auto"/>
            </w:tcBorders>
            <w:noWrap/>
            <w:vAlign w:val="bottom"/>
            <w:hideMark/>
          </w:tcPr>
          <w:p w:rsidR="00066DE4" w:rsidRDefault="00873D9B">
            <w:pPr>
              <w:spacing w:line="276" w:lineRule="auto"/>
              <w:jc w:val="center"/>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ricadute in € su base annua</w:t>
            </w:r>
          </w:p>
        </w:tc>
      </w:tr>
      <w:tr w:rsidR="00066DE4" w:rsidTr="008403F8">
        <w:trPr>
          <w:trHeight w:val="576"/>
        </w:trPr>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- 1 casa di proprietà        100 metri quadri in area urbana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Monoreddito - casa in affitto                  100 metri quadri in area urbana</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Blocco indicizzazione pensione</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384,00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Blocco indicizzazione pensione</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384,00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345,00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Trise</w:t>
            </w:r>
            <w:proofErr w:type="spellEnd"/>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264,00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Aumento costi bancari</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16,00 </w:t>
            </w:r>
          </w:p>
        </w:tc>
      </w:tr>
      <w:tr w:rsidR="00066DE4" w:rsidTr="008403F8">
        <w:trPr>
          <w:trHeight w:val="288"/>
        </w:trPr>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proofErr w:type="spellStart"/>
            <w:r>
              <w:rPr>
                <w:rFonts w:ascii="Calibri" w:eastAsia="Times New Roman" w:hAnsi="Calibri"/>
                <w:color w:val="000000"/>
                <w:sz w:val="22"/>
                <w:szCs w:val="22"/>
                <w:lang w:eastAsia="en-US"/>
              </w:rPr>
              <w:t>Imu</w:t>
            </w:r>
            <w:proofErr w:type="spellEnd"/>
            <w:r>
              <w:rPr>
                <w:rFonts w:ascii="Calibri" w:eastAsia="Times New Roman" w:hAnsi="Calibri"/>
                <w:color w:val="000000"/>
                <w:sz w:val="22"/>
                <w:szCs w:val="22"/>
                <w:lang w:eastAsia="en-US"/>
              </w:rPr>
              <w:t xml:space="preserve"> (2 rata)</w:t>
            </w:r>
          </w:p>
        </w:tc>
        <w:tc>
          <w:tcPr>
            <w:tcW w:w="302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xml:space="preserve">-€                                            155,00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nil"/>
              <w:right w:val="nil"/>
            </w:tcBorders>
            <w:noWrap/>
            <w:vAlign w:val="bottom"/>
            <w:hideMark/>
          </w:tcPr>
          <w:p w:rsidR="00066DE4" w:rsidRDefault="00873D9B">
            <w:pPr>
              <w:spacing w:line="276" w:lineRule="auto"/>
              <w:jc w:val="left"/>
              <w:rPr>
                <w:rFonts w:ascii="Calibri" w:eastAsia="Times New Roman" w:hAnsi="Calibri"/>
                <w:color w:val="000000"/>
                <w:sz w:val="22"/>
                <w:szCs w:val="22"/>
                <w:lang w:eastAsia="en-US"/>
              </w:rPr>
            </w:pPr>
            <w:r>
              <w:rPr>
                <w:rFonts w:ascii="Calibri" w:eastAsia="Times New Roman" w:hAnsi="Calibri"/>
                <w:color w:val="000000"/>
                <w:sz w:val="22"/>
                <w:szCs w:val="22"/>
                <w:lang w:eastAsia="en-US"/>
              </w:rPr>
              <w:t> </w:t>
            </w:r>
          </w:p>
        </w:tc>
        <w:tc>
          <w:tcPr>
            <w:tcW w:w="2760" w:type="dxa"/>
            <w:tcBorders>
              <w:top w:val="nil"/>
              <w:left w:val="nil"/>
              <w:bottom w:val="nil"/>
              <w:right w:val="single" w:sz="4" w:space="0" w:color="auto"/>
            </w:tcBorders>
            <w:noWrap/>
            <w:vAlign w:val="bottom"/>
            <w:hideMark/>
          </w:tcPr>
          <w:p w:rsidR="00066DE4" w:rsidRDefault="00873D9B">
            <w:pPr>
              <w:spacing w:line="276" w:lineRule="auto"/>
              <w:jc w:val="left"/>
              <w:rPr>
                <w:rFonts w:ascii="Calibri" w:eastAsia="Times New Roman" w:hAnsi="Calibri"/>
                <w:color w:val="FF0000"/>
                <w:sz w:val="22"/>
                <w:szCs w:val="22"/>
                <w:lang w:eastAsia="en-US"/>
              </w:rPr>
            </w:pPr>
            <w:r>
              <w:rPr>
                <w:rFonts w:ascii="Calibri" w:eastAsia="Times New Roman" w:hAnsi="Calibri"/>
                <w:color w:val="FF0000"/>
                <w:sz w:val="22"/>
                <w:szCs w:val="22"/>
                <w:lang w:eastAsia="en-US"/>
              </w:rPr>
              <w:t> </w:t>
            </w:r>
          </w:p>
        </w:tc>
      </w:tr>
      <w:tr w:rsidR="00066DE4" w:rsidTr="008403F8">
        <w:trPr>
          <w:trHeight w:val="288"/>
        </w:trPr>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302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900,00 </w:t>
            </w:r>
          </w:p>
        </w:tc>
        <w:tc>
          <w:tcPr>
            <w:tcW w:w="960" w:type="dxa"/>
            <w:noWrap/>
            <w:vAlign w:val="bottom"/>
            <w:hideMark/>
          </w:tcPr>
          <w:p w:rsidR="00066DE4" w:rsidRDefault="00066DE4">
            <w:pPr>
              <w:spacing w:line="276" w:lineRule="auto"/>
              <w:rPr>
                <w:bCs/>
                <w:iCs/>
                <w:kern w:val="36"/>
                <w:sz w:val="22"/>
                <w:szCs w:val="22"/>
                <w:lang w:eastAsia="en-US"/>
              </w:rPr>
            </w:pPr>
          </w:p>
        </w:tc>
        <w:tc>
          <w:tcPr>
            <w:tcW w:w="960" w:type="dxa"/>
            <w:noWrap/>
            <w:vAlign w:val="bottom"/>
            <w:hideMark/>
          </w:tcPr>
          <w:p w:rsidR="00066DE4" w:rsidRDefault="00066DE4">
            <w:pPr>
              <w:spacing w:line="276" w:lineRule="auto"/>
              <w:rPr>
                <w:bCs/>
                <w:iCs/>
                <w:kern w:val="36"/>
                <w:sz w:val="22"/>
                <w:szCs w:val="22"/>
                <w:lang w:eastAsia="en-US"/>
              </w:rPr>
            </w:pPr>
          </w:p>
        </w:tc>
        <w:tc>
          <w:tcPr>
            <w:tcW w:w="3900" w:type="dxa"/>
            <w:tcBorders>
              <w:top w:val="nil"/>
              <w:left w:val="single" w:sz="4" w:space="0" w:color="auto"/>
              <w:bottom w:val="single" w:sz="4" w:space="0" w:color="auto"/>
              <w:right w:val="nil"/>
            </w:tcBorders>
            <w:noWrap/>
            <w:vAlign w:val="bottom"/>
            <w:hideMark/>
          </w:tcPr>
          <w:p w:rsidR="00066DE4" w:rsidRDefault="00873D9B">
            <w:pPr>
              <w:spacing w:line="276" w:lineRule="auto"/>
              <w:jc w:val="left"/>
              <w:rPr>
                <w:rFonts w:ascii="Calibri" w:eastAsia="Times New Roman" w:hAnsi="Calibri"/>
                <w:b/>
                <w:color w:val="000000"/>
                <w:sz w:val="22"/>
                <w:szCs w:val="22"/>
                <w:lang w:eastAsia="en-US"/>
              </w:rPr>
            </w:pPr>
            <w:r>
              <w:rPr>
                <w:rFonts w:ascii="Calibri" w:eastAsia="Times New Roman" w:hAnsi="Calibri"/>
                <w:b/>
                <w:color w:val="000000"/>
                <w:sz w:val="22"/>
                <w:szCs w:val="22"/>
                <w:lang w:eastAsia="en-US"/>
              </w:rPr>
              <w:t>Totale</w:t>
            </w:r>
          </w:p>
        </w:tc>
        <w:tc>
          <w:tcPr>
            <w:tcW w:w="2760" w:type="dxa"/>
            <w:tcBorders>
              <w:top w:val="nil"/>
              <w:left w:val="nil"/>
              <w:bottom w:val="single" w:sz="4" w:space="0" w:color="auto"/>
              <w:right w:val="single" w:sz="4" w:space="0" w:color="auto"/>
            </w:tcBorders>
            <w:noWrap/>
            <w:vAlign w:val="bottom"/>
            <w:hideMark/>
          </w:tcPr>
          <w:p w:rsidR="00066DE4" w:rsidRDefault="00873D9B">
            <w:pPr>
              <w:spacing w:line="276" w:lineRule="auto"/>
              <w:jc w:val="left"/>
              <w:rPr>
                <w:rFonts w:ascii="Calibri" w:eastAsia="Times New Roman" w:hAnsi="Calibri"/>
                <w:b/>
                <w:color w:val="FF0000"/>
                <w:sz w:val="22"/>
                <w:szCs w:val="22"/>
                <w:lang w:eastAsia="en-US"/>
              </w:rPr>
            </w:pPr>
            <w:r>
              <w:rPr>
                <w:rFonts w:ascii="Calibri" w:eastAsia="Times New Roman" w:hAnsi="Calibri"/>
                <w:b/>
                <w:color w:val="FF0000"/>
                <w:sz w:val="22"/>
                <w:szCs w:val="22"/>
                <w:lang w:eastAsia="en-US"/>
              </w:rPr>
              <w:t xml:space="preserve">-€                                      664,00 </w:t>
            </w:r>
          </w:p>
        </w:tc>
      </w:tr>
    </w:tbl>
    <w:p w:rsidR="00873D9B" w:rsidRDefault="00873D9B"/>
    <w:sectPr w:rsidR="00873D9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val="bestFit" w:percent="88"/>
  <w:proofState w:spelling="clean"/>
  <w:defaultTabStop w:val="708"/>
  <w:hyphenationZone w:val="28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7FE"/>
    <w:rsid w:val="00066DE4"/>
    <w:rsid w:val="005C37FE"/>
    <w:rsid w:val="008403F8"/>
    <w:rsid w:val="00873D9B"/>
    <w:rsid w:val="00A33A7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jc w:val="both"/>
    </w:pPr>
    <w:rPr>
      <w:bCs w:val="0"/>
      <w:iCs w:val="0"/>
      <w:kern w:val="0"/>
      <w:sz w:val="24"/>
      <w:szCs w:val="24"/>
      <w:lang w:eastAsia="it-IT"/>
    </w:rPr>
  </w:style>
  <w:style w:type="paragraph" w:styleId="Titolo1">
    <w:name w:val="heading 1"/>
    <w:basedOn w:val="Normale"/>
    <w:link w:val="Titolo1Carattere"/>
    <w:uiPriority w:val="9"/>
    <w:qFormat/>
    <w:pPr>
      <w:keepNext/>
      <w:spacing w:before="240" w:after="60"/>
      <w:ind w:left="480" w:right="34"/>
      <w:outlineLvl w:val="0"/>
    </w:pPr>
    <w:rPr>
      <w:rFonts w:cs="Century Gothic"/>
      <w:b/>
      <w:bCs/>
      <w:sz w:val="32"/>
      <w:szCs w:val="32"/>
    </w:rPr>
  </w:style>
  <w:style w:type="paragraph" w:styleId="Titolo2">
    <w:name w:val="heading 2"/>
    <w:basedOn w:val="Normale"/>
    <w:link w:val="Titolo2Carattere"/>
    <w:semiHidden/>
    <w:unhideWhenUsed/>
    <w:qFormat/>
    <w:pPr>
      <w:keepNext/>
      <w:spacing w:before="240" w:after="60"/>
      <w:jc w:val="center"/>
      <w:outlineLvl w:val="1"/>
    </w:pPr>
    <w:rPr>
      <w:rFonts w:cs="Century Gothic"/>
    </w:rPr>
  </w:style>
  <w:style w:type="paragraph" w:styleId="Titolo3">
    <w:name w:val="heading 3"/>
    <w:basedOn w:val="Normale"/>
    <w:link w:val="Titolo3Carattere"/>
    <w:uiPriority w:val="9"/>
    <w:semiHidden/>
    <w:unhideWhenUsed/>
    <w:qFormat/>
    <w:pPr>
      <w:keepNext/>
      <w:spacing w:before="240" w:after="60"/>
      <w:outlineLvl w:val="2"/>
    </w:pPr>
    <w:rPr>
      <w:rFonts w:cs="Century Gothic"/>
      <w:b/>
      <w:bCs/>
    </w:rPr>
  </w:style>
  <w:style w:type="paragraph" w:styleId="Titolo4">
    <w:name w:val="heading 4"/>
    <w:basedOn w:val="Normale"/>
    <w:link w:val="Titolo4Carattere"/>
    <w:uiPriority w:val="9"/>
    <w:semiHidden/>
    <w:unhideWhenUsed/>
    <w:qFormat/>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semiHidden/>
    <w:unhideWhenUsed/>
    <w:qFormat/>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qFormat/>
    <w:rPr>
      <w:rFonts w:ascii="Century Gothic" w:eastAsia="SimSun" w:hAnsi="Century Gothic" w:hint="default"/>
      <w:i/>
      <w:iCs/>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Pr>
      <w:rFonts w:ascii="Century Gothic" w:hAnsi="Century Gothic" w:hint="default"/>
      <w:strike w:val="0"/>
      <w:dstrike w:val="0"/>
      <w:color w:val="7030A0"/>
      <w:u w:val="none"/>
      <w:effect w:val="none"/>
    </w:rPr>
  </w:style>
  <w:style w:type="character" w:customStyle="1" w:styleId="Titolo1Carattere">
    <w:name w:val="Titolo 1 Carattere"/>
    <w:basedOn w:val="Carpredefinitoparagrafo"/>
    <w:link w:val="Titolo1"/>
    <w:uiPriority w:val="9"/>
    <w:locked/>
    <w:rPr>
      <w:rFonts w:ascii="Trebuchet MS" w:eastAsiaTheme="minorEastAsia" w:hAnsi="Trebuchet MS" w:cs="Century Gothic" w:hint="default"/>
      <w:b/>
      <w:bCs w:val="0"/>
      <w:kern w:val="36"/>
      <w:sz w:val="32"/>
      <w:szCs w:val="32"/>
      <w:lang w:eastAsia="it-IT"/>
    </w:rPr>
  </w:style>
  <w:style w:type="character" w:customStyle="1" w:styleId="Titolo2Carattere">
    <w:name w:val="Titolo 2 Carattere"/>
    <w:basedOn w:val="Carpredefinitoparagrafo"/>
    <w:link w:val="Titolo2"/>
    <w:semiHidden/>
    <w:locked/>
    <w:rPr>
      <w:rFonts w:ascii="Trebuchet MS" w:eastAsiaTheme="minorEastAsia" w:hAnsi="Trebuchet MS" w:cs="Century Gothic" w:hint="default"/>
      <w:color w:val="008000"/>
      <w:sz w:val="16"/>
      <w:szCs w:val="16"/>
      <w:lang w:eastAsia="it-IT"/>
    </w:rPr>
  </w:style>
  <w:style w:type="character" w:customStyle="1" w:styleId="Titolo3Carattere">
    <w:name w:val="Titolo 3 Carattere"/>
    <w:basedOn w:val="Carpredefinitoparagrafo"/>
    <w:link w:val="Titolo3"/>
    <w:uiPriority w:val="9"/>
    <w:semiHidden/>
    <w:locked/>
    <w:rPr>
      <w:rFonts w:ascii="Trebuchet MS" w:eastAsiaTheme="minorEastAsia" w:hAnsi="Trebuchet MS" w:cs="Century Gothic" w:hint="default"/>
      <w:b/>
      <w:bCs w:val="0"/>
      <w:color w:val="008000"/>
      <w:sz w:val="22"/>
      <w:szCs w:val="22"/>
      <w:lang w:eastAsia="it-IT"/>
    </w:rPr>
  </w:style>
  <w:style w:type="character" w:customStyle="1" w:styleId="Titolo4Carattere">
    <w:name w:val="Titolo 4 Carattere"/>
    <w:basedOn w:val="Carpredefinitoparagrafo"/>
    <w:link w:val="Titolo4"/>
    <w:uiPriority w:val="9"/>
    <w:semiHidden/>
    <w:locked/>
    <w:rPr>
      <w:rFonts w:ascii="Times New Roman" w:eastAsiaTheme="minorEastAsia" w:hAnsi="Times New Roman" w:cs="Times New Roman" w:hint="default"/>
      <w:b/>
      <w:bCs w:val="0"/>
      <w:sz w:val="28"/>
      <w:szCs w:val="28"/>
      <w:lang w:eastAsia="it-IT"/>
    </w:rPr>
  </w:style>
  <w:style w:type="character" w:customStyle="1" w:styleId="Titolo6Carattere">
    <w:name w:val="Titolo 6 Carattere"/>
    <w:basedOn w:val="Carpredefinitoparagrafo"/>
    <w:link w:val="Titolo6"/>
    <w:uiPriority w:val="9"/>
    <w:semiHidden/>
    <w:locked/>
    <w:rPr>
      <w:rFonts w:ascii="Times New Roman" w:eastAsiaTheme="minorEastAsia" w:hAnsi="Times New Roman" w:cs="Times New Roman" w:hint="default"/>
      <w:b/>
      <w:bCs w:val="0"/>
      <w:color w:val="008000"/>
      <w:sz w:val="22"/>
      <w:szCs w:val="22"/>
      <w:lang w:eastAsia="it-IT"/>
    </w:rPr>
  </w:style>
  <w:style w:type="paragraph" w:styleId="NormaleWeb">
    <w:name w:val="Normal (Web)"/>
    <w:basedOn w:val="Normale"/>
    <w:uiPriority w:val="99"/>
    <w:semiHidden/>
    <w:unhideWhenUsed/>
    <w:qFormat/>
    <w:pPr>
      <w:spacing w:before="100" w:beforeAutospacing="1" w:after="100" w:afterAutospacing="1"/>
    </w:pPr>
    <w:rPr>
      <w:rFonts w:eastAsia="Times New Roman" w:cs="Century Gothic"/>
      <w:bCs/>
      <w:iCs/>
      <w:kern w:val="36"/>
    </w:rPr>
  </w:style>
  <w:style w:type="paragraph" w:styleId="Sommario1">
    <w:name w:val="toc 1"/>
    <w:basedOn w:val="Normale"/>
    <w:autoRedefine/>
    <w:uiPriority w:val="39"/>
    <w:semiHidden/>
    <w:unhideWhenUsed/>
    <w:pPr>
      <w:ind w:right="-2"/>
    </w:pPr>
  </w:style>
  <w:style w:type="paragraph" w:styleId="Sommario3">
    <w:name w:val="toc 3"/>
    <w:basedOn w:val="Normale"/>
    <w:autoRedefine/>
    <w:uiPriority w:val="39"/>
    <w:semiHidden/>
    <w:unhideWhenUsed/>
    <w:pPr>
      <w:ind w:left="440"/>
    </w:pPr>
    <w:rPr>
      <w:rFonts w:ascii="Times New Roman" w:hAnsi="Times New Roman"/>
    </w:rPr>
  </w:style>
  <w:style w:type="paragraph" w:styleId="Testonotaapidipagina">
    <w:name w:val="footnote text"/>
    <w:basedOn w:val="Normale"/>
    <w:link w:val="TestonotaapidipaginaCarattere"/>
    <w:uiPriority w:val="99"/>
    <w:semiHidden/>
    <w:unhideWhenUsed/>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locked/>
    <w:rPr>
      <w:rFonts w:ascii="Times New Roman" w:eastAsiaTheme="minorEastAsia" w:hAnsi="Times New Roman" w:cs="Times New Roman" w:hint="default"/>
      <w:sz w:val="16"/>
      <w:szCs w:val="16"/>
      <w:lang w:eastAsia="it-IT"/>
    </w:rPr>
  </w:style>
  <w:style w:type="paragraph" w:styleId="Intestazione">
    <w:name w:val="header"/>
    <w:basedOn w:val="Normale"/>
    <w:link w:val="IntestazioneCarattere"/>
    <w:uiPriority w:val="99"/>
    <w:semiHidden/>
    <w:unhideWhenUsed/>
    <w:rPr>
      <w:rFonts w:ascii="Times New Roman" w:hAnsi="Times New Roman"/>
    </w:rPr>
  </w:style>
  <w:style w:type="character" w:customStyle="1" w:styleId="IntestazioneCarattere">
    <w:name w:val="Intestazione Carattere"/>
    <w:basedOn w:val="Carpredefinitoparagrafo"/>
    <w:link w:val="Intestazione"/>
    <w:uiPriority w:val="99"/>
    <w:semiHidden/>
    <w:locked/>
    <w:rPr>
      <w:rFonts w:ascii="Times New Roman" w:eastAsiaTheme="minorEastAsia" w:hAnsi="Times New Roman" w:cs="Times New Roman" w:hint="default"/>
      <w:sz w:val="22"/>
      <w:szCs w:val="22"/>
      <w:lang w:eastAsia="it-IT"/>
    </w:rPr>
  </w:style>
  <w:style w:type="paragraph" w:styleId="Pidipagina">
    <w:name w:val="footer"/>
    <w:basedOn w:val="Normale"/>
    <w:link w:val="PidipaginaCarattere"/>
    <w:uiPriority w:val="99"/>
    <w:semiHidden/>
    <w:unhideWhenUsed/>
    <w:rPr>
      <w:rFonts w:ascii="Times New Roman" w:hAnsi="Times New Roman"/>
    </w:rPr>
  </w:style>
  <w:style w:type="character" w:customStyle="1" w:styleId="PidipaginaCarattere">
    <w:name w:val="Piè di pagina Carattere"/>
    <w:basedOn w:val="Carpredefinitoparagrafo"/>
    <w:link w:val="Pidipagina"/>
    <w:uiPriority w:val="99"/>
    <w:semiHidden/>
    <w:locked/>
    <w:rPr>
      <w:rFonts w:ascii="Times New Roman" w:eastAsiaTheme="minorEastAsia" w:hAnsi="Times New Roman" w:cs="Times New Roman" w:hint="default"/>
      <w:sz w:val="22"/>
      <w:szCs w:val="22"/>
      <w:lang w:eastAsia="it-IT"/>
    </w:rPr>
  </w:style>
  <w:style w:type="paragraph" w:styleId="Titolo">
    <w:name w:val="Title"/>
    <w:basedOn w:val="Normale"/>
    <w:link w:val="TitoloCarattere"/>
    <w:uiPriority w:val="10"/>
    <w:qFormat/>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locked/>
    <w:rPr>
      <w:rFonts w:ascii="Arial" w:eastAsiaTheme="minorEastAsia" w:hAnsi="Arial" w:cs="Arial" w:hint="default"/>
      <w:b/>
      <w:bCs w:val="0"/>
      <w:color w:val="008000"/>
      <w:sz w:val="32"/>
      <w:szCs w:val="32"/>
      <w:lang w:eastAsia="it-IT"/>
    </w:rPr>
  </w:style>
  <w:style w:type="paragraph" w:styleId="Sottotitolo">
    <w:name w:val="Subtitle"/>
    <w:basedOn w:val="Normale"/>
    <w:next w:val="Normale"/>
    <w:link w:val="SottotitoloCarattere"/>
    <w:uiPriority w:val="11"/>
    <w:qFormat/>
    <w:p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locked/>
    <w:rPr>
      <w:rFonts w:asciiTheme="majorHAnsi" w:eastAsiaTheme="majorEastAsia" w:hAnsiTheme="majorHAnsi" w:cstheme="majorBidi" w:hint="default"/>
      <w:i/>
      <w:iCs w:val="0"/>
      <w:color w:val="4F81BD" w:themeColor="accent1"/>
      <w:spacing w:val="15"/>
      <w:sz w:val="24"/>
      <w:szCs w:val="24"/>
      <w:lang w:eastAsia="it-IT"/>
    </w:rPr>
  </w:style>
  <w:style w:type="paragraph" w:styleId="Data">
    <w:name w:val="Date"/>
    <w:basedOn w:val="Normale"/>
    <w:link w:val="DataCarattere"/>
    <w:uiPriority w:val="99"/>
    <w:semiHidden/>
    <w:unhideWhenUsed/>
  </w:style>
  <w:style w:type="character" w:customStyle="1" w:styleId="DataCarattere">
    <w:name w:val="Data Carattere"/>
    <w:basedOn w:val="Carpredefinitoparagrafo"/>
    <w:link w:val="Data"/>
    <w:uiPriority w:val="99"/>
    <w:semiHidden/>
    <w:locked/>
    <w:rPr>
      <w:rFonts w:ascii="Trebuchet MS" w:eastAsiaTheme="minorEastAsia" w:hAnsi="Trebuchet MS" w:cs="Times New Roman" w:hint="default"/>
      <w:color w:val="008000"/>
      <w:sz w:val="16"/>
      <w:szCs w:val="16"/>
      <w:lang w:eastAsia="it-IT"/>
    </w:rPr>
  </w:style>
  <w:style w:type="paragraph" w:styleId="Testodelblocco">
    <w:name w:val="Block Text"/>
    <w:basedOn w:val="Normale"/>
    <w:uiPriority w:val="99"/>
    <w:semiHidden/>
    <w:unhideWhenUsed/>
    <w:pPr>
      <w:ind w:left="480"/>
    </w:pPr>
    <w:rPr>
      <w:color w:val="FF0000"/>
      <w:sz w:val="18"/>
      <w:szCs w:val="18"/>
    </w:rPr>
  </w:style>
  <w:style w:type="paragraph" w:styleId="Testonormale">
    <w:name w:val="Plain Text"/>
    <w:basedOn w:val="Normale"/>
    <w:link w:val="TestonormaleCarattere"/>
    <w:uiPriority w:val="99"/>
    <w:semiHidden/>
    <w:unhideWhenUsed/>
    <w:rPr>
      <w:rFonts w:ascii="Calibri" w:hAnsi="Calibri"/>
      <w:szCs w:val="21"/>
    </w:rPr>
  </w:style>
  <w:style w:type="character" w:customStyle="1" w:styleId="TestonormaleCarattere">
    <w:name w:val="Testo normale Carattere"/>
    <w:basedOn w:val="Carpredefinitoparagrafo"/>
    <w:link w:val="Testonormale"/>
    <w:uiPriority w:val="99"/>
    <w:semiHidden/>
    <w:locked/>
    <w:rPr>
      <w:rFonts w:ascii="Calibri" w:hAnsi="Calibri" w:hint="default"/>
      <w:sz w:val="22"/>
      <w:szCs w:val="21"/>
    </w:rPr>
  </w:style>
  <w:style w:type="paragraph" w:styleId="Testofumetto">
    <w:name w:val="Balloon Text"/>
    <w:basedOn w:val="Normale"/>
    <w:link w:val="TestofumettoCarattere"/>
    <w:uiPriority w:val="99"/>
    <w:semiHidden/>
    <w:unhideWhenUsed/>
    <w:rPr>
      <w:rFonts w:ascii="Tahoma" w:hAnsi="Tahoma" w:cs="Tahoma"/>
    </w:rPr>
  </w:style>
  <w:style w:type="character" w:customStyle="1" w:styleId="TestofumettoCarattere">
    <w:name w:val="Testo fumetto Carattere"/>
    <w:basedOn w:val="Carpredefinitoparagrafo"/>
    <w:link w:val="Testofumetto"/>
    <w:uiPriority w:val="99"/>
    <w:semiHidden/>
    <w:locked/>
    <w:rPr>
      <w:rFonts w:ascii="Tahoma" w:eastAsiaTheme="minorEastAsia" w:hAnsi="Tahoma" w:cs="Tahoma" w:hint="default"/>
      <w:sz w:val="16"/>
      <w:szCs w:val="16"/>
      <w:lang w:eastAsia="it-IT"/>
    </w:rPr>
  </w:style>
  <w:style w:type="paragraph" w:styleId="Nessunaspaziatura">
    <w:name w:val="No Spacing"/>
    <w:basedOn w:val="Normale"/>
    <w:uiPriority w:val="1"/>
    <w:qFormat/>
    <w:pPr>
      <w:ind w:left="2160"/>
    </w:pPr>
    <w:rPr>
      <w:color w:val="0F243E"/>
    </w:rPr>
  </w:style>
  <w:style w:type="paragraph" w:styleId="Paragrafoelenco">
    <w:name w:val="List Paragraph"/>
    <w:basedOn w:val="Normale"/>
    <w:uiPriority w:val="34"/>
    <w:qFormat/>
    <w:pPr>
      <w:ind w:left="720"/>
    </w:pPr>
  </w:style>
  <w:style w:type="character" w:customStyle="1" w:styleId="linkCarattere">
    <w:name w:val="link Carattere"/>
    <w:basedOn w:val="Carpredefinitoparagrafo"/>
    <w:link w:val="link"/>
    <w:uiPriority w:val="99"/>
    <w:locked/>
    <w:rPr>
      <w:rFonts w:ascii="Century Gothic" w:hAnsi="Century Gothic" w:cs="Century Gothic" w:hint="default"/>
    </w:rPr>
  </w:style>
  <w:style w:type="paragraph" w:customStyle="1" w:styleId="link">
    <w:name w:val="link"/>
    <w:basedOn w:val="Normale"/>
    <w:link w:val="linkCarattere"/>
    <w:autoRedefine/>
    <w:uiPriority w:val="99"/>
    <w:pPr>
      <w:tabs>
        <w:tab w:val="left" w:pos="708"/>
      </w:tabs>
      <w:spacing w:before="100" w:beforeAutospacing="1" w:after="100" w:afterAutospacing="1"/>
      <w:ind w:left="170" w:right="-39"/>
    </w:pPr>
    <w:rPr>
      <w:rFonts w:cs="Century Gothic"/>
    </w:rPr>
  </w:style>
  <w:style w:type="paragraph" w:customStyle="1" w:styleId="msolistparagraphcxspfirst">
    <w:name w:val="msolistparagraphcxspfirst"/>
    <w:basedOn w:val="Normale"/>
    <w:uiPriority w:val="99"/>
    <w:semiHidden/>
    <w:pPr>
      <w:ind w:left="720"/>
    </w:pPr>
  </w:style>
  <w:style w:type="paragraph" w:customStyle="1" w:styleId="msolistparagraphcxspmiddle">
    <w:name w:val="msolistparagraphcxspmiddle"/>
    <w:basedOn w:val="Normale"/>
    <w:uiPriority w:val="99"/>
    <w:semiHidden/>
    <w:pPr>
      <w:ind w:left="720"/>
    </w:pPr>
  </w:style>
  <w:style w:type="paragraph" w:customStyle="1" w:styleId="msolistparagraphcxsplast">
    <w:name w:val="msolistparagraphcxsplast"/>
    <w:basedOn w:val="Normale"/>
    <w:uiPriority w:val="99"/>
    <w:semiHidden/>
    <w:pPr>
      <w:ind w:left="720"/>
    </w:pPr>
  </w:style>
  <w:style w:type="paragraph" w:customStyle="1" w:styleId="Stile1">
    <w:name w:val="Stile1"/>
    <w:basedOn w:val="Normale"/>
    <w:uiPriority w:val="99"/>
    <w:semiHidden/>
    <w:rPr>
      <w:rFonts w:ascii="Garamond" w:hAnsi="Garamond"/>
    </w:rPr>
  </w:style>
  <w:style w:type="paragraph" w:customStyle="1" w:styleId="msonospacing0">
    <w:name w:val="msonospacing"/>
    <w:basedOn w:val="Normale"/>
    <w:uiPriority w:val="1"/>
    <w:semiHidden/>
    <w:qFormat/>
    <w:pPr>
      <w:ind w:left="2160"/>
    </w:pPr>
    <w:rPr>
      <w:color w:val="0F243E"/>
    </w:rPr>
  </w:style>
  <w:style w:type="paragraph" w:customStyle="1" w:styleId="by-line">
    <w:name w:val="by-line"/>
    <w:basedOn w:val="Normale"/>
    <w:uiPriority w:val="99"/>
    <w:semiHidden/>
    <w:pPr>
      <w:spacing w:before="100" w:beforeAutospacing="1" w:after="100" w:afterAutospacing="1"/>
    </w:pPr>
  </w:style>
  <w:style w:type="paragraph" w:customStyle="1" w:styleId="msochpdefault">
    <w:name w:val="msochpdefault"/>
    <w:basedOn w:val="Normale"/>
    <w:uiPriority w:val="99"/>
    <w:semiHidden/>
    <w:pPr>
      <w:spacing w:before="100" w:beforeAutospacing="1" w:after="100" w:afterAutospacing="1"/>
    </w:pPr>
    <w:rPr>
      <w:rFonts w:ascii="Times New Roman" w:hAnsi="Times New Roman"/>
      <w:lang w:eastAsia="en-US"/>
    </w:rPr>
  </w:style>
  <w:style w:type="paragraph" w:customStyle="1" w:styleId="msotocheading0">
    <w:name w:val="msotocheading"/>
    <w:basedOn w:val="Titolo1"/>
    <w:next w:val="Normale"/>
    <w:uiPriority w:val="39"/>
    <w:semiHidden/>
    <w:qFormat/>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pPr>
      <w:spacing w:before="100" w:beforeAutospacing="1" w:after="100" w:afterAutospacing="1"/>
    </w:pPr>
    <w:rPr>
      <w:rFonts w:cs="Century Gothic"/>
    </w:rPr>
  </w:style>
  <w:style w:type="character" w:styleId="Rimandonotaapidipagina">
    <w:name w:val="footnote reference"/>
    <w:basedOn w:val="Carpredefinitoparagrafo"/>
    <w:uiPriority w:val="99"/>
    <w:semiHidden/>
    <w:unhideWhenUsed/>
    <w:rPr>
      <w:vertAlign w:val="superscript"/>
    </w:rPr>
  </w:style>
  <w:style w:type="character" w:customStyle="1" w:styleId="occhiello">
    <w:name w:val="occhiello"/>
    <w:basedOn w:val="Carpredefinitoparagrafo"/>
  </w:style>
  <w:style w:type="character" w:customStyle="1" w:styleId="titolo10">
    <w:name w:val="titolo1"/>
    <w:basedOn w:val="Carpredefinitoparagrafo"/>
  </w:style>
  <w:style w:type="character" w:customStyle="1" w:styleId="sommario">
    <w:name w:val="sommario"/>
    <w:basedOn w:val="Carpredefinitoparagrafo"/>
  </w:style>
  <w:style w:type="character" w:customStyle="1" w:styleId="txt12">
    <w:name w:val="txt12"/>
    <w:basedOn w:val="Carpredefinitoparagrafo"/>
  </w:style>
  <w:style w:type="character" w:customStyle="1" w:styleId="articolotitolo1">
    <w:name w:val="articolotitolo1"/>
    <w:basedOn w:val="Carpredefinitoparagrafo"/>
    <w:rPr>
      <w:rFonts w:ascii="Verdana" w:hAnsi="Verdana" w:hint="default"/>
      <w:b/>
      <w:bCs w:val="0"/>
      <w:strike w:val="0"/>
      <w:dstrike w:val="0"/>
      <w:color w:val="000000"/>
      <w:u w:val="none"/>
      <w:effect w:val="none"/>
    </w:rPr>
  </w:style>
  <w:style w:type="character" w:customStyle="1" w:styleId="grame">
    <w:name w:val="grame"/>
    <w:basedOn w:val="Carpredefinitoparagrafo"/>
  </w:style>
  <w:style w:type="character" w:customStyle="1" w:styleId="grigioscuro">
    <w:name w:val="grigioscuro"/>
    <w:basedOn w:val="Carpredefinitoparagrafo"/>
  </w:style>
  <w:style w:type="character" w:customStyle="1" w:styleId="fwb1">
    <w:name w:val="fwb1"/>
    <w:rPr>
      <w:b/>
      <w:bCs w:val="0"/>
    </w:rPr>
  </w:style>
  <w:style w:type="character" w:customStyle="1" w:styleId="usercontent">
    <w:name w:val="usercontent"/>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uficommentbody">
    <w:name w:val="uficommentbody"/>
    <w:basedOn w:val="Carpredefinitoparagrafo"/>
  </w:style>
  <w:style w:type="table" w:styleId="Grigliatabella">
    <w:name w:val="Table Grid"/>
    <w:basedOn w:val="Tabellanormale"/>
    <w:uiPriority w:val="59"/>
    <w:pPr>
      <w:spacing w:line="276" w:lineRule="auto"/>
      <w:ind w:left="23"/>
      <w:jc w:val="both"/>
    </w:pPr>
    <w:rPr>
      <w:rFonts w:ascii="Times New Roman" w:hAnsi="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jc w:val="both"/>
    </w:pPr>
    <w:rPr>
      <w:bCs w:val="0"/>
      <w:iCs w:val="0"/>
      <w:kern w:val="0"/>
      <w:sz w:val="24"/>
      <w:szCs w:val="24"/>
      <w:lang w:eastAsia="it-IT"/>
    </w:rPr>
  </w:style>
  <w:style w:type="paragraph" w:styleId="Titolo1">
    <w:name w:val="heading 1"/>
    <w:basedOn w:val="Normale"/>
    <w:link w:val="Titolo1Carattere"/>
    <w:uiPriority w:val="9"/>
    <w:qFormat/>
    <w:pPr>
      <w:keepNext/>
      <w:spacing w:before="240" w:after="60"/>
      <w:ind w:left="480" w:right="34"/>
      <w:outlineLvl w:val="0"/>
    </w:pPr>
    <w:rPr>
      <w:rFonts w:cs="Century Gothic"/>
      <w:b/>
      <w:bCs/>
      <w:sz w:val="32"/>
      <w:szCs w:val="32"/>
    </w:rPr>
  </w:style>
  <w:style w:type="paragraph" w:styleId="Titolo2">
    <w:name w:val="heading 2"/>
    <w:basedOn w:val="Normale"/>
    <w:link w:val="Titolo2Carattere"/>
    <w:semiHidden/>
    <w:unhideWhenUsed/>
    <w:qFormat/>
    <w:pPr>
      <w:keepNext/>
      <w:spacing w:before="240" w:after="60"/>
      <w:jc w:val="center"/>
      <w:outlineLvl w:val="1"/>
    </w:pPr>
    <w:rPr>
      <w:rFonts w:cs="Century Gothic"/>
    </w:rPr>
  </w:style>
  <w:style w:type="paragraph" w:styleId="Titolo3">
    <w:name w:val="heading 3"/>
    <w:basedOn w:val="Normale"/>
    <w:link w:val="Titolo3Carattere"/>
    <w:uiPriority w:val="9"/>
    <w:semiHidden/>
    <w:unhideWhenUsed/>
    <w:qFormat/>
    <w:pPr>
      <w:keepNext/>
      <w:spacing w:before="240" w:after="60"/>
      <w:outlineLvl w:val="2"/>
    </w:pPr>
    <w:rPr>
      <w:rFonts w:cs="Century Gothic"/>
      <w:b/>
      <w:bCs/>
    </w:rPr>
  </w:style>
  <w:style w:type="paragraph" w:styleId="Titolo4">
    <w:name w:val="heading 4"/>
    <w:basedOn w:val="Normale"/>
    <w:link w:val="Titolo4Carattere"/>
    <w:uiPriority w:val="9"/>
    <w:semiHidden/>
    <w:unhideWhenUsed/>
    <w:qFormat/>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semiHidden/>
    <w:unhideWhenUsed/>
    <w:qFormat/>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qFormat/>
    <w:rPr>
      <w:rFonts w:ascii="Century Gothic" w:eastAsia="SimSun" w:hAnsi="Century Gothic" w:hint="default"/>
      <w:i/>
      <w:iCs/>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Pr>
      <w:rFonts w:ascii="Century Gothic" w:hAnsi="Century Gothic" w:hint="default"/>
      <w:strike w:val="0"/>
      <w:dstrike w:val="0"/>
      <w:color w:val="7030A0"/>
      <w:u w:val="none"/>
      <w:effect w:val="none"/>
    </w:rPr>
  </w:style>
  <w:style w:type="character" w:customStyle="1" w:styleId="Titolo1Carattere">
    <w:name w:val="Titolo 1 Carattere"/>
    <w:basedOn w:val="Carpredefinitoparagrafo"/>
    <w:link w:val="Titolo1"/>
    <w:uiPriority w:val="9"/>
    <w:locked/>
    <w:rPr>
      <w:rFonts w:ascii="Trebuchet MS" w:eastAsiaTheme="minorEastAsia" w:hAnsi="Trebuchet MS" w:cs="Century Gothic" w:hint="default"/>
      <w:b/>
      <w:bCs w:val="0"/>
      <w:kern w:val="36"/>
      <w:sz w:val="32"/>
      <w:szCs w:val="32"/>
      <w:lang w:eastAsia="it-IT"/>
    </w:rPr>
  </w:style>
  <w:style w:type="character" w:customStyle="1" w:styleId="Titolo2Carattere">
    <w:name w:val="Titolo 2 Carattere"/>
    <w:basedOn w:val="Carpredefinitoparagrafo"/>
    <w:link w:val="Titolo2"/>
    <w:semiHidden/>
    <w:locked/>
    <w:rPr>
      <w:rFonts w:ascii="Trebuchet MS" w:eastAsiaTheme="minorEastAsia" w:hAnsi="Trebuchet MS" w:cs="Century Gothic" w:hint="default"/>
      <w:color w:val="008000"/>
      <w:sz w:val="16"/>
      <w:szCs w:val="16"/>
      <w:lang w:eastAsia="it-IT"/>
    </w:rPr>
  </w:style>
  <w:style w:type="character" w:customStyle="1" w:styleId="Titolo3Carattere">
    <w:name w:val="Titolo 3 Carattere"/>
    <w:basedOn w:val="Carpredefinitoparagrafo"/>
    <w:link w:val="Titolo3"/>
    <w:uiPriority w:val="9"/>
    <w:semiHidden/>
    <w:locked/>
    <w:rPr>
      <w:rFonts w:ascii="Trebuchet MS" w:eastAsiaTheme="minorEastAsia" w:hAnsi="Trebuchet MS" w:cs="Century Gothic" w:hint="default"/>
      <w:b/>
      <w:bCs w:val="0"/>
      <w:color w:val="008000"/>
      <w:sz w:val="22"/>
      <w:szCs w:val="22"/>
      <w:lang w:eastAsia="it-IT"/>
    </w:rPr>
  </w:style>
  <w:style w:type="character" w:customStyle="1" w:styleId="Titolo4Carattere">
    <w:name w:val="Titolo 4 Carattere"/>
    <w:basedOn w:val="Carpredefinitoparagrafo"/>
    <w:link w:val="Titolo4"/>
    <w:uiPriority w:val="9"/>
    <w:semiHidden/>
    <w:locked/>
    <w:rPr>
      <w:rFonts w:ascii="Times New Roman" w:eastAsiaTheme="minorEastAsia" w:hAnsi="Times New Roman" w:cs="Times New Roman" w:hint="default"/>
      <w:b/>
      <w:bCs w:val="0"/>
      <w:sz w:val="28"/>
      <w:szCs w:val="28"/>
      <w:lang w:eastAsia="it-IT"/>
    </w:rPr>
  </w:style>
  <w:style w:type="character" w:customStyle="1" w:styleId="Titolo6Carattere">
    <w:name w:val="Titolo 6 Carattere"/>
    <w:basedOn w:val="Carpredefinitoparagrafo"/>
    <w:link w:val="Titolo6"/>
    <w:uiPriority w:val="9"/>
    <w:semiHidden/>
    <w:locked/>
    <w:rPr>
      <w:rFonts w:ascii="Times New Roman" w:eastAsiaTheme="minorEastAsia" w:hAnsi="Times New Roman" w:cs="Times New Roman" w:hint="default"/>
      <w:b/>
      <w:bCs w:val="0"/>
      <w:color w:val="008000"/>
      <w:sz w:val="22"/>
      <w:szCs w:val="22"/>
      <w:lang w:eastAsia="it-IT"/>
    </w:rPr>
  </w:style>
  <w:style w:type="paragraph" w:styleId="NormaleWeb">
    <w:name w:val="Normal (Web)"/>
    <w:basedOn w:val="Normale"/>
    <w:uiPriority w:val="99"/>
    <w:semiHidden/>
    <w:unhideWhenUsed/>
    <w:qFormat/>
    <w:pPr>
      <w:spacing w:before="100" w:beforeAutospacing="1" w:after="100" w:afterAutospacing="1"/>
    </w:pPr>
    <w:rPr>
      <w:rFonts w:eastAsia="Times New Roman" w:cs="Century Gothic"/>
      <w:bCs/>
      <w:iCs/>
      <w:kern w:val="36"/>
    </w:rPr>
  </w:style>
  <w:style w:type="paragraph" w:styleId="Sommario1">
    <w:name w:val="toc 1"/>
    <w:basedOn w:val="Normale"/>
    <w:autoRedefine/>
    <w:uiPriority w:val="39"/>
    <w:semiHidden/>
    <w:unhideWhenUsed/>
    <w:pPr>
      <w:ind w:right="-2"/>
    </w:pPr>
  </w:style>
  <w:style w:type="paragraph" w:styleId="Sommario3">
    <w:name w:val="toc 3"/>
    <w:basedOn w:val="Normale"/>
    <w:autoRedefine/>
    <w:uiPriority w:val="39"/>
    <w:semiHidden/>
    <w:unhideWhenUsed/>
    <w:pPr>
      <w:ind w:left="440"/>
    </w:pPr>
    <w:rPr>
      <w:rFonts w:ascii="Times New Roman" w:hAnsi="Times New Roman"/>
    </w:rPr>
  </w:style>
  <w:style w:type="paragraph" w:styleId="Testonotaapidipagina">
    <w:name w:val="footnote text"/>
    <w:basedOn w:val="Normale"/>
    <w:link w:val="TestonotaapidipaginaCarattere"/>
    <w:uiPriority w:val="99"/>
    <w:semiHidden/>
    <w:unhideWhenUsed/>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locked/>
    <w:rPr>
      <w:rFonts w:ascii="Times New Roman" w:eastAsiaTheme="minorEastAsia" w:hAnsi="Times New Roman" w:cs="Times New Roman" w:hint="default"/>
      <w:sz w:val="16"/>
      <w:szCs w:val="16"/>
      <w:lang w:eastAsia="it-IT"/>
    </w:rPr>
  </w:style>
  <w:style w:type="paragraph" w:styleId="Intestazione">
    <w:name w:val="header"/>
    <w:basedOn w:val="Normale"/>
    <w:link w:val="IntestazioneCarattere"/>
    <w:uiPriority w:val="99"/>
    <w:semiHidden/>
    <w:unhideWhenUsed/>
    <w:rPr>
      <w:rFonts w:ascii="Times New Roman" w:hAnsi="Times New Roman"/>
    </w:rPr>
  </w:style>
  <w:style w:type="character" w:customStyle="1" w:styleId="IntestazioneCarattere">
    <w:name w:val="Intestazione Carattere"/>
    <w:basedOn w:val="Carpredefinitoparagrafo"/>
    <w:link w:val="Intestazione"/>
    <w:uiPriority w:val="99"/>
    <w:semiHidden/>
    <w:locked/>
    <w:rPr>
      <w:rFonts w:ascii="Times New Roman" w:eastAsiaTheme="minorEastAsia" w:hAnsi="Times New Roman" w:cs="Times New Roman" w:hint="default"/>
      <w:sz w:val="22"/>
      <w:szCs w:val="22"/>
      <w:lang w:eastAsia="it-IT"/>
    </w:rPr>
  </w:style>
  <w:style w:type="paragraph" w:styleId="Pidipagina">
    <w:name w:val="footer"/>
    <w:basedOn w:val="Normale"/>
    <w:link w:val="PidipaginaCarattere"/>
    <w:uiPriority w:val="99"/>
    <w:semiHidden/>
    <w:unhideWhenUsed/>
    <w:rPr>
      <w:rFonts w:ascii="Times New Roman" w:hAnsi="Times New Roman"/>
    </w:rPr>
  </w:style>
  <w:style w:type="character" w:customStyle="1" w:styleId="PidipaginaCarattere">
    <w:name w:val="Piè di pagina Carattere"/>
    <w:basedOn w:val="Carpredefinitoparagrafo"/>
    <w:link w:val="Pidipagina"/>
    <w:uiPriority w:val="99"/>
    <w:semiHidden/>
    <w:locked/>
    <w:rPr>
      <w:rFonts w:ascii="Times New Roman" w:eastAsiaTheme="minorEastAsia" w:hAnsi="Times New Roman" w:cs="Times New Roman" w:hint="default"/>
      <w:sz w:val="22"/>
      <w:szCs w:val="22"/>
      <w:lang w:eastAsia="it-IT"/>
    </w:rPr>
  </w:style>
  <w:style w:type="paragraph" w:styleId="Titolo">
    <w:name w:val="Title"/>
    <w:basedOn w:val="Normale"/>
    <w:link w:val="TitoloCarattere"/>
    <w:uiPriority w:val="10"/>
    <w:qFormat/>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locked/>
    <w:rPr>
      <w:rFonts w:ascii="Arial" w:eastAsiaTheme="minorEastAsia" w:hAnsi="Arial" w:cs="Arial" w:hint="default"/>
      <w:b/>
      <w:bCs w:val="0"/>
      <w:color w:val="008000"/>
      <w:sz w:val="32"/>
      <w:szCs w:val="32"/>
      <w:lang w:eastAsia="it-IT"/>
    </w:rPr>
  </w:style>
  <w:style w:type="paragraph" w:styleId="Sottotitolo">
    <w:name w:val="Subtitle"/>
    <w:basedOn w:val="Normale"/>
    <w:next w:val="Normale"/>
    <w:link w:val="SottotitoloCarattere"/>
    <w:uiPriority w:val="11"/>
    <w:qFormat/>
    <w:p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locked/>
    <w:rPr>
      <w:rFonts w:asciiTheme="majorHAnsi" w:eastAsiaTheme="majorEastAsia" w:hAnsiTheme="majorHAnsi" w:cstheme="majorBidi" w:hint="default"/>
      <w:i/>
      <w:iCs w:val="0"/>
      <w:color w:val="4F81BD" w:themeColor="accent1"/>
      <w:spacing w:val="15"/>
      <w:sz w:val="24"/>
      <w:szCs w:val="24"/>
      <w:lang w:eastAsia="it-IT"/>
    </w:rPr>
  </w:style>
  <w:style w:type="paragraph" w:styleId="Data">
    <w:name w:val="Date"/>
    <w:basedOn w:val="Normale"/>
    <w:link w:val="DataCarattere"/>
    <w:uiPriority w:val="99"/>
    <w:semiHidden/>
    <w:unhideWhenUsed/>
  </w:style>
  <w:style w:type="character" w:customStyle="1" w:styleId="DataCarattere">
    <w:name w:val="Data Carattere"/>
    <w:basedOn w:val="Carpredefinitoparagrafo"/>
    <w:link w:val="Data"/>
    <w:uiPriority w:val="99"/>
    <w:semiHidden/>
    <w:locked/>
    <w:rPr>
      <w:rFonts w:ascii="Trebuchet MS" w:eastAsiaTheme="minorEastAsia" w:hAnsi="Trebuchet MS" w:cs="Times New Roman" w:hint="default"/>
      <w:color w:val="008000"/>
      <w:sz w:val="16"/>
      <w:szCs w:val="16"/>
      <w:lang w:eastAsia="it-IT"/>
    </w:rPr>
  </w:style>
  <w:style w:type="paragraph" w:styleId="Testodelblocco">
    <w:name w:val="Block Text"/>
    <w:basedOn w:val="Normale"/>
    <w:uiPriority w:val="99"/>
    <w:semiHidden/>
    <w:unhideWhenUsed/>
    <w:pPr>
      <w:ind w:left="480"/>
    </w:pPr>
    <w:rPr>
      <w:color w:val="FF0000"/>
      <w:sz w:val="18"/>
      <w:szCs w:val="18"/>
    </w:rPr>
  </w:style>
  <w:style w:type="paragraph" w:styleId="Testonormale">
    <w:name w:val="Plain Text"/>
    <w:basedOn w:val="Normale"/>
    <w:link w:val="TestonormaleCarattere"/>
    <w:uiPriority w:val="99"/>
    <w:semiHidden/>
    <w:unhideWhenUsed/>
    <w:rPr>
      <w:rFonts w:ascii="Calibri" w:hAnsi="Calibri"/>
      <w:szCs w:val="21"/>
    </w:rPr>
  </w:style>
  <w:style w:type="character" w:customStyle="1" w:styleId="TestonormaleCarattere">
    <w:name w:val="Testo normale Carattere"/>
    <w:basedOn w:val="Carpredefinitoparagrafo"/>
    <w:link w:val="Testonormale"/>
    <w:uiPriority w:val="99"/>
    <w:semiHidden/>
    <w:locked/>
    <w:rPr>
      <w:rFonts w:ascii="Calibri" w:hAnsi="Calibri" w:hint="default"/>
      <w:sz w:val="22"/>
      <w:szCs w:val="21"/>
    </w:rPr>
  </w:style>
  <w:style w:type="paragraph" w:styleId="Testofumetto">
    <w:name w:val="Balloon Text"/>
    <w:basedOn w:val="Normale"/>
    <w:link w:val="TestofumettoCarattere"/>
    <w:uiPriority w:val="99"/>
    <w:semiHidden/>
    <w:unhideWhenUsed/>
    <w:rPr>
      <w:rFonts w:ascii="Tahoma" w:hAnsi="Tahoma" w:cs="Tahoma"/>
    </w:rPr>
  </w:style>
  <w:style w:type="character" w:customStyle="1" w:styleId="TestofumettoCarattere">
    <w:name w:val="Testo fumetto Carattere"/>
    <w:basedOn w:val="Carpredefinitoparagrafo"/>
    <w:link w:val="Testofumetto"/>
    <w:uiPriority w:val="99"/>
    <w:semiHidden/>
    <w:locked/>
    <w:rPr>
      <w:rFonts w:ascii="Tahoma" w:eastAsiaTheme="minorEastAsia" w:hAnsi="Tahoma" w:cs="Tahoma" w:hint="default"/>
      <w:sz w:val="16"/>
      <w:szCs w:val="16"/>
      <w:lang w:eastAsia="it-IT"/>
    </w:rPr>
  </w:style>
  <w:style w:type="paragraph" w:styleId="Nessunaspaziatura">
    <w:name w:val="No Spacing"/>
    <w:basedOn w:val="Normale"/>
    <w:uiPriority w:val="1"/>
    <w:qFormat/>
    <w:pPr>
      <w:ind w:left="2160"/>
    </w:pPr>
    <w:rPr>
      <w:color w:val="0F243E"/>
    </w:rPr>
  </w:style>
  <w:style w:type="paragraph" w:styleId="Paragrafoelenco">
    <w:name w:val="List Paragraph"/>
    <w:basedOn w:val="Normale"/>
    <w:uiPriority w:val="34"/>
    <w:qFormat/>
    <w:pPr>
      <w:ind w:left="720"/>
    </w:pPr>
  </w:style>
  <w:style w:type="character" w:customStyle="1" w:styleId="linkCarattere">
    <w:name w:val="link Carattere"/>
    <w:basedOn w:val="Carpredefinitoparagrafo"/>
    <w:link w:val="link"/>
    <w:uiPriority w:val="99"/>
    <w:locked/>
    <w:rPr>
      <w:rFonts w:ascii="Century Gothic" w:hAnsi="Century Gothic" w:cs="Century Gothic" w:hint="default"/>
    </w:rPr>
  </w:style>
  <w:style w:type="paragraph" w:customStyle="1" w:styleId="link">
    <w:name w:val="link"/>
    <w:basedOn w:val="Normale"/>
    <w:link w:val="linkCarattere"/>
    <w:autoRedefine/>
    <w:uiPriority w:val="99"/>
    <w:pPr>
      <w:tabs>
        <w:tab w:val="left" w:pos="708"/>
      </w:tabs>
      <w:spacing w:before="100" w:beforeAutospacing="1" w:after="100" w:afterAutospacing="1"/>
      <w:ind w:left="170" w:right="-39"/>
    </w:pPr>
    <w:rPr>
      <w:rFonts w:cs="Century Gothic"/>
    </w:rPr>
  </w:style>
  <w:style w:type="paragraph" w:customStyle="1" w:styleId="msolistparagraphcxspfirst">
    <w:name w:val="msolistparagraphcxspfirst"/>
    <w:basedOn w:val="Normale"/>
    <w:uiPriority w:val="99"/>
    <w:semiHidden/>
    <w:pPr>
      <w:ind w:left="720"/>
    </w:pPr>
  </w:style>
  <w:style w:type="paragraph" w:customStyle="1" w:styleId="msolistparagraphcxspmiddle">
    <w:name w:val="msolistparagraphcxspmiddle"/>
    <w:basedOn w:val="Normale"/>
    <w:uiPriority w:val="99"/>
    <w:semiHidden/>
    <w:pPr>
      <w:ind w:left="720"/>
    </w:pPr>
  </w:style>
  <w:style w:type="paragraph" w:customStyle="1" w:styleId="msolistparagraphcxsplast">
    <w:name w:val="msolistparagraphcxsplast"/>
    <w:basedOn w:val="Normale"/>
    <w:uiPriority w:val="99"/>
    <w:semiHidden/>
    <w:pPr>
      <w:ind w:left="720"/>
    </w:pPr>
  </w:style>
  <w:style w:type="paragraph" w:customStyle="1" w:styleId="Stile1">
    <w:name w:val="Stile1"/>
    <w:basedOn w:val="Normale"/>
    <w:uiPriority w:val="99"/>
    <w:semiHidden/>
    <w:rPr>
      <w:rFonts w:ascii="Garamond" w:hAnsi="Garamond"/>
    </w:rPr>
  </w:style>
  <w:style w:type="paragraph" w:customStyle="1" w:styleId="msonospacing0">
    <w:name w:val="msonospacing"/>
    <w:basedOn w:val="Normale"/>
    <w:uiPriority w:val="1"/>
    <w:semiHidden/>
    <w:qFormat/>
    <w:pPr>
      <w:ind w:left="2160"/>
    </w:pPr>
    <w:rPr>
      <w:color w:val="0F243E"/>
    </w:rPr>
  </w:style>
  <w:style w:type="paragraph" w:customStyle="1" w:styleId="by-line">
    <w:name w:val="by-line"/>
    <w:basedOn w:val="Normale"/>
    <w:uiPriority w:val="99"/>
    <w:semiHidden/>
    <w:pPr>
      <w:spacing w:before="100" w:beforeAutospacing="1" w:after="100" w:afterAutospacing="1"/>
    </w:pPr>
  </w:style>
  <w:style w:type="paragraph" w:customStyle="1" w:styleId="msochpdefault">
    <w:name w:val="msochpdefault"/>
    <w:basedOn w:val="Normale"/>
    <w:uiPriority w:val="99"/>
    <w:semiHidden/>
    <w:pPr>
      <w:spacing w:before="100" w:beforeAutospacing="1" w:after="100" w:afterAutospacing="1"/>
    </w:pPr>
    <w:rPr>
      <w:rFonts w:ascii="Times New Roman" w:hAnsi="Times New Roman"/>
      <w:lang w:eastAsia="en-US"/>
    </w:rPr>
  </w:style>
  <w:style w:type="paragraph" w:customStyle="1" w:styleId="msotocheading0">
    <w:name w:val="msotocheading"/>
    <w:basedOn w:val="Titolo1"/>
    <w:next w:val="Normale"/>
    <w:uiPriority w:val="39"/>
    <w:semiHidden/>
    <w:qFormat/>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pPr>
      <w:spacing w:before="100" w:beforeAutospacing="1" w:after="100" w:afterAutospacing="1"/>
    </w:pPr>
    <w:rPr>
      <w:rFonts w:cs="Century Gothic"/>
    </w:rPr>
  </w:style>
  <w:style w:type="character" w:styleId="Rimandonotaapidipagina">
    <w:name w:val="footnote reference"/>
    <w:basedOn w:val="Carpredefinitoparagrafo"/>
    <w:uiPriority w:val="99"/>
    <w:semiHidden/>
    <w:unhideWhenUsed/>
    <w:rPr>
      <w:vertAlign w:val="superscript"/>
    </w:rPr>
  </w:style>
  <w:style w:type="character" w:customStyle="1" w:styleId="occhiello">
    <w:name w:val="occhiello"/>
    <w:basedOn w:val="Carpredefinitoparagrafo"/>
  </w:style>
  <w:style w:type="character" w:customStyle="1" w:styleId="titolo10">
    <w:name w:val="titolo1"/>
    <w:basedOn w:val="Carpredefinitoparagrafo"/>
  </w:style>
  <w:style w:type="character" w:customStyle="1" w:styleId="sommario">
    <w:name w:val="sommario"/>
    <w:basedOn w:val="Carpredefinitoparagrafo"/>
  </w:style>
  <w:style w:type="character" w:customStyle="1" w:styleId="txt12">
    <w:name w:val="txt12"/>
    <w:basedOn w:val="Carpredefinitoparagrafo"/>
  </w:style>
  <w:style w:type="character" w:customStyle="1" w:styleId="articolotitolo1">
    <w:name w:val="articolotitolo1"/>
    <w:basedOn w:val="Carpredefinitoparagrafo"/>
    <w:rPr>
      <w:rFonts w:ascii="Verdana" w:hAnsi="Verdana" w:hint="default"/>
      <w:b/>
      <w:bCs w:val="0"/>
      <w:strike w:val="0"/>
      <w:dstrike w:val="0"/>
      <w:color w:val="000000"/>
      <w:u w:val="none"/>
      <w:effect w:val="none"/>
    </w:rPr>
  </w:style>
  <w:style w:type="character" w:customStyle="1" w:styleId="grame">
    <w:name w:val="grame"/>
    <w:basedOn w:val="Carpredefinitoparagrafo"/>
  </w:style>
  <w:style w:type="character" w:customStyle="1" w:styleId="grigioscuro">
    <w:name w:val="grigioscuro"/>
    <w:basedOn w:val="Carpredefinitoparagrafo"/>
  </w:style>
  <w:style w:type="character" w:customStyle="1" w:styleId="fwb1">
    <w:name w:val="fwb1"/>
    <w:rPr>
      <w:b/>
      <w:bCs w:val="0"/>
    </w:rPr>
  </w:style>
  <w:style w:type="character" w:customStyle="1" w:styleId="usercontent">
    <w:name w:val="usercontent"/>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uficommentbody">
    <w:name w:val="uficommentbody"/>
    <w:basedOn w:val="Carpredefinitoparagrafo"/>
  </w:style>
  <w:style w:type="table" w:styleId="Grigliatabella">
    <w:name w:val="Table Grid"/>
    <w:basedOn w:val="Tabellanormale"/>
    <w:uiPriority w:val="59"/>
    <w:pPr>
      <w:spacing w:line="276" w:lineRule="auto"/>
      <w:ind w:left="23"/>
      <w:jc w:val="both"/>
    </w:pPr>
    <w:rPr>
      <w:rFonts w:ascii="Times New Roman" w:hAnsi="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49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1273</Words>
  <Characters>5870</Characters>
  <Application>Microsoft Office Word</Application>
  <DocSecurity>0</DocSecurity>
  <Lines>65</Lines>
  <Paragraphs>13</Paragraphs>
  <ScaleCrop>false</ScaleCrop>
  <Company/>
  <LinksUpToDate>false</LinksUpToDate>
  <CharactersWithSpaces>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2013-10-18T18:16:00Z</dcterms:created>
  <dcterms:modified xsi:type="dcterms:W3CDTF">2013-10-18T18:16:00Z</dcterms:modified>
</cp:coreProperties>
</file>