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DFF" w:rsidRPr="00F55DFF" w:rsidRDefault="00F55DFF" w:rsidP="00F55DFF">
      <w:pPr>
        <w:spacing w:after="0" w:line="240" w:lineRule="auto"/>
        <w:jc w:val="center"/>
        <w:rPr>
          <w:rFonts w:ascii="Calibri" w:eastAsia="Calibri" w:hAnsi="Calibri" w:cs="Times New Roman"/>
          <w:sz w:val="24"/>
          <w:szCs w:val="24"/>
        </w:rPr>
      </w:pPr>
      <w:r w:rsidRPr="00F55DFF">
        <w:rPr>
          <w:rFonts w:ascii="Calibri" w:eastAsia="Calibri" w:hAnsi="Calibri" w:cs="Times New Roman"/>
          <w:sz w:val="24"/>
          <w:szCs w:val="24"/>
        </w:rPr>
        <w:t>COMUNICATO STAMPA</w:t>
      </w:r>
    </w:p>
    <w:p w:rsidR="00F55DFF" w:rsidRPr="00F55DFF" w:rsidRDefault="00F55DFF" w:rsidP="00F55DFF">
      <w:pPr>
        <w:spacing w:after="0" w:line="240" w:lineRule="auto"/>
        <w:jc w:val="center"/>
        <w:rPr>
          <w:rFonts w:ascii="Calibri" w:eastAsia="Calibri" w:hAnsi="Calibri" w:cs="Times New Roman"/>
          <w:sz w:val="24"/>
          <w:szCs w:val="24"/>
        </w:rPr>
      </w:pPr>
    </w:p>
    <w:p w:rsidR="000B702F" w:rsidRDefault="00F55DFF" w:rsidP="00F55DFF">
      <w:pPr>
        <w:spacing w:after="0" w:line="240" w:lineRule="auto"/>
        <w:jc w:val="center"/>
        <w:rPr>
          <w:rFonts w:ascii="Calibri" w:eastAsia="Calibri" w:hAnsi="Calibri" w:cs="Times New Roman"/>
          <w:sz w:val="24"/>
          <w:szCs w:val="24"/>
        </w:rPr>
      </w:pPr>
      <w:r w:rsidRPr="00F55DFF">
        <w:rPr>
          <w:rFonts w:ascii="Calibri" w:eastAsia="Calibri" w:hAnsi="Calibri" w:cs="Times New Roman"/>
          <w:sz w:val="24"/>
          <w:szCs w:val="24"/>
        </w:rPr>
        <w:t>BAN</w:t>
      </w:r>
      <w:r w:rsidR="000B702F">
        <w:rPr>
          <w:rFonts w:ascii="Calibri" w:eastAsia="Calibri" w:hAnsi="Calibri" w:cs="Times New Roman"/>
          <w:sz w:val="24"/>
          <w:szCs w:val="24"/>
        </w:rPr>
        <w:t xml:space="preserve">CHE: AUMENTA ANCORA </w:t>
      </w:r>
      <w:r w:rsidRPr="00F55DFF">
        <w:rPr>
          <w:rFonts w:ascii="Calibri" w:eastAsia="Calibri" w:hAnsi="Calibri" w:cs="Times New Roman"/>
          <w:sz w:val="24"/>
          <w:szCs w:val="24"/>
        </w:rPr>
        <w:t xml:space="preserve">IL COSTO MEDIO </w:t>
      </w:r>
      <w:r w:rsidR="000B702F">
        <w:rPr>
          <w:rFonts w:ascii="Calibri" w:eastAsia="Calibri" w:hAnsi="Calibri" w:cs="Times New Roman"/>
          <w:sz w:val="24"/>
          <w:szCs w:val="24"/>
        </w:rPr>
        <w:t xml:space="preserve">DI UN </w:t>
      </w:r>
      <w:r w:rsidRPr="00F55DFF">
        <w:rPr>
          <w:rFonts w:ascii="Calibri" w:eastAsia="Calibri" w:hAnsi="Calibri" w:cs="Times New Roman"/>
          <w:sz w:val="24"/>
          <w:szCs w:val="24"/>
        </w:rPr>
        <w:t>CONTO CORRENTE,</w:t>
      </w:r>
      <w:r w:rsidR="000B702F">
        <w:rPr>
          <w:rFonts w:ascii="Calibri" w:eastAsia="Calibri" w:hAnsi="Calibri" w:cs="Times New Roman"/>
          <w:sz w:val="24"/>
          <w:szCs w:val="24"/>
        </w:rPr>
        <w:t xml:space="preserve"> CHE NON E’ DI</w:t>
      </w:r>
      <w:r w:rsidRPr="00F55DFF">
        <w:rPr>
          <w:rFonts w:ascii="Calibri" w:eastAsia="Calibri" w:hAnsi="Calibri" w:cs="Times New Roman"/>
          <w:sz w:val="24"/>
          <w:szCs w:val="24"/>
        </w:rPr>
        <w:t xml:space="preserve"> 101 EURO,</w:t>
      </w:r>
      <w:r w:rsidR="000B702F">
        <w:rPr>
          <w:rFonts w:ascii="Calibri" w:eastAsia="Calibri" w:hAnsi="Calibri" w:cs="Times New Roman"/>
          <w:sz w:val="24"/>
          <w:szCs w:val="24"/>
        </w:rPr>
        <w:t xml:space="preserve">COME RILEVATO </w:t>
      </w:r>
      <w:r w:rsidRPr="00F55DFF">
        <w:rPr>
          <w:rFonts w:ascii="Calibri" w:eastAsia="Calibri" w:hAnsi="Calibri" w:cs="Times New Roman"/>
          <w:sz w:val="24"/>
          <w:szCs w:val="24"/>
        </w:rPr>
        <w:t xml:space="preserve">INDAGINE BANKITALIA,MA </w:t>
      </w:r>
      <w:r w:rsidR="000B702F">
        <w:rPr>
          <w:rFonts w:ascii="Calibri" w:eastAsia="Calibri" w:hAnsi="Calibri" w:cs="Times New Roman"/>
          <w:sz w:val="24"/>
          <w:szCs w:val="24"/>
        </w:rPr>
        <w:t>DI 347 EURO (+ 5 EURO RISPETTO A LUGLIO).</w:t>
      </w:r>
    </w:p>
    <w:p w:rsidR="000B702F" w:rsidRDefault="000B702F" w:rsidP="00F55DFF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F55DFF" w:rsidRPr="00F55DFF" w:rsidRDefault="00DF57B1" w:rsidP="00F55DFF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   </w:t>
      </w:r>
      <w:r w:rsidR="00F55DFF" w:rsidRPr="00F55DFF">
        <w:rPr>
          <w:rFonts w:ascii="Calibri" w:eastAsia="Calibri" w:hAnsi="Calibri" w:cs="Times New Roman"/>
          <w:sz w:val="24"/>
          <w:szCs w:val="24"/>
        </w:rPr>
        <w:t xml:space="preserve">Per </w:t>
      </w:r>
      <w:r>
        <w:rPr>
          <w:rFonts w:ascii="Calibri" w:eastAsia="Calibri" w:hAnsi="Calibri" w:cs="Times New Roman"/>
          <w:sz w:val="24"/>
          <w:szCs w:val="24"/>
        </w:rPr>
        <w:t xml:space="preserve">confutare </w:t>
      </w:r>
      <w:r w:rsidR="00F55DFF" w:rsidRPr="00F55DFF">
        <w:rPr>
          <w:rFonts w:ascii="Calibri" w:eastAsia="Calibri" w:hAnsi="Calibri" w:cs="Times New Roman"/>
          <w:sz w:val="24"/>
          <w:szCs w:val="24"/>
        </w:rPr>
        <w:t xml:space="preserve">le indagini ad hoc di </w:t>
      </w:r>
      <w:proofErr w:type="spellStart"/>
      <w:r w:rsidR="00F55DFF" w:rsidRPr="00F55DFF">
        <w:rPr>
          <w:rFonts w:ascii="Calibri" w:eastAsia="Calibri" w:hAnsi="Calibri" w:cs="Times New Roman"/>
          <w:sz w:val="24"/>
          <w:szCs w:val="24"/>
        </w:rPr>
        <w:t>Bankitalia</w:t>
      </w:r>
      <w:proofErr w:type="spellEnd"/>
      <w:r>
        <w:rPr>
          <w:rFonts w:ascii="Calibri" w:eastAsia="Calibri" w:hAnsi="Calibri" w:cs="Times New Roman"/>
          <w:sz w:val="24"/>
          <w:szCs w:val="24"/>
        </w:rPr>
        <w:t xml:space="preserve">, </w:t>
      </w:r>
      <w:r w:rsidR="00F55DFF" w:rsidRPr="00F55DFF">
        <w:rPr>
          <w:rFonts w:ascii="Calibri" w:eastAsia="Calibri" w:hAnsi="Calibri" w:cs="Times New Roman"/>
          <w:sz w:val="24"/>
          <w:szCs w:val="24"/>
        </w:rPr>
        <w:t xml:space="preserve">taroccate ed ingannevoli sulle banche socie, secondo le quali il costo di un conto corrente sarebbe pari a 101 euro, Federconsumatori e Adusbef hanno effettuato </w:t>
      </w:r>
      <w:r>
        <w:rPr>
          <w:rFonts w:ascii="Calibri" w:eastAsia="Calibri" w:hAnsi="Calibri" w:cs="Times New Roman"/>
          <w:sz w:val="24"/>
          <w:szCs w:val="24"/>
        </w:rPr>
        <w:t xml:space="preserve">ai primi di luglio 2013 </w:t>
      </w:r>
      <w:r w:rsidR="00F55DFF" w:rsidRPr="00F55DFF">
        <w:rPr>
          <w:rFonts w:ascii="Calibri" w:eastAsia="Calibri" w:hAnsi="Calibri" w:cs="Times New Roman"/>
          <w:sz w:val="24"/>
          <w:szCs w:val="24"/>
        </w:rPr>
        <w:t xml:space="preserve">un monitoraggio sui costi medi di gestione di un conto corrente con "profilo a bassa operatività", con rigorosa metodologia ISC (Indicatore Sintetico di Costo) previsto da CICR, che ogni banca ha l’obbligo di indicare per i conti  offerti alla clientela. </w:t>
      </w:r>
    </w:p>
    <w:p w:rsidR="00F55DFF" w:rsidRPr="00F55DFF" w:rsidRDefault="00F55DFF" w:rsidP="00F55DFF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F55DFF">
        <w:rPr>
          <w:rFonts w:ascii="Calibri" w:eastAsia="Calibri" w:hAnsi="Calibri" w:cs="Times New Roman"/>
          <w:sz w:val="24"/>
          <w:szCs w:val="24"/>
        </w:rPr>
        <w:t xml:space="preserve">   I costi medi delle 10 primarie banche italiane, variavano dai 238,35 euro della BNL ai 337,18 di Unicredit; dai 273,20 di Intesa San Paolo, ai 438,70 della Banca Popolare di Vicenza, con media ponderata ISC (Indicatore Sintetico di Costo) pari a 320,5 euro, supera</w:t>
      </w:r>
      <w:r w:rsidR="00DF57B1">
        <w:rPr>
          <w:rFonts w:ascii="Calibri" w:eastAsia="Calibri" w:hAnsi="Calibri" w:cs="Times New Roman"/>
          <w:sz w:val="24"/>
          <w:szCs w:val="24"/>
        </w:rPr>
        <w:t>ndo</w:t>
      </w:r>
      <w:r w:rsidRPr="00F55DFF">
        <w:rPr>
          <w:rFonts w:ascii="Calibri" w:eastAsia="Calibri" w:hAnsi="Calibri" w:cs="Times New Roman"/>
          <w:sz w:val="24"/>
          <w:szCs w:val="24"/>
        </w:rPr>
        <w:t xml:space="preserve"> del 318%  i 101 euro di costi indicati da </w:t>
      </w:r>
      <w:proofErr w:type="spellStart"/>
      <w:r w:rsidRPr="00F55DFF">
        <w:rPr>
          <w:rFonts w:ascii="Calibri" w:eastAsia="Calibri" w:hAnsi="Calibri" w:cs="Times New Roman"/>
          <w:sz w:val="24"/>
          <w:szCs w:val="24"/>
        </w:rPr>
        <w:t>Bankitalia</w:t>
      </w:r>
      <w:proofErr w:type="spellEnd"/>
      <w:r w:rsidRPr="00F55DFF">
        <w:rPr>
          <w:rFonts w:ascii="Calibri" w:eastAsia="Calibri" w:hAnsi="Calibri" w:cs="Times New Roman"/>
          <w:sz w:val="24"/>
          <w:szCs w:val="24"/>
        </w:rPr>
        <w:t xml:space="preserve"> nel 2012</w:t>
      </w:r>
      <w:r w:rsidR="00DF57B1">
        <w:rPr>
          <w:rFonts w:ascii="Calibri" w:eastAsia="Calibri" w:hAnsi="Calibri" w:cs="Times New Roman"/>
          <w:sz w:val="24"/>
          <w:szCs w:val="24"/>
        </w:rPr>
        <w:t>.</w:t>
      </w:r>
      <w:r w:rsidRPr="00F55DFF">
        <w:rPr>
          <w:rFonts w:ascii="Calibri" w:eastAsia="Calibri" w:hAnsi="Calibri" w:cs="Times New Roman"/>
          <w:sz w:val="24"/>
          <w:szCs w:val="24"/>
        </w:rPr>
        <w:t xml:space="preserve"> </w:t>
      </w:r>
    </w:p>
    <w:p w:rsidR="00F55DFF" w:rsidRPr="00F55DFF" w:rsidRDefault="00F55DFF" w:rsidP="00F55DFF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F55DFF">
        <w:rPr>
          <w:rFonts w:ascii="Calibri" w:eastAsia="Calibri" w:hAnsi="Calibri" w:cs="Times New Roman"/>
          <w:sz w:val="24"/>
          <w:szCs w:val="24"/>
        </w:rPr>
        <w:t xml:space="preserve">   La Banca d'Italia, di proprietà delle banche azioniste, contestava i dati per “problemi di metodologia nello studio”, affermando che “lo studio delle associazioni non prendevano in considerazione dati reali, ma stime e dati presunti, in quanto l’I</w:t>
      </w:r>
      <w:r w:rsidR="002F11C7">
        <w:rPr>
          <w:rFonts w:ascii="Calibri" w:eastAsia="Calibri" w:hAnsi="Calibri" w:cs="Times New Roman"/>
          <w:sz w:val="24"/>
          <w:szCs w:val="24"/>
        </w:rPr>
        <w:t>SC</w:t>
      </w:r>
      <w:r w:rsidRPr="00F55DFF">
        <w:rPr>
          <w:rFonts w:ascii="Calibri" w:eastAsia="Calibri" w:hAnsi="Calibri" w:cs="Times New Roman"/>
          <w:sz w:val="24"/>
          <w:szCs w:val="24"/>
        </w:rPr>
        <w:t xml:space="preserve">  pubblicato dalle banche sui fogli informativi e quindi su Patti Chiari e altre fonti pubbliche, non tiene conto di profili di operatività presunta </w:t>
      </w:r>
      <w:proofErr w:type="spellStart"/>
      <w:r w:rsidRPr="00F55DFF">
        <w:rPr>
          <w:rFonts w:ascii="Calibri" w:eastAsia="Calibri" w:hAnsi="Calibri" w:cs="Times New Roman"/>
          <w:sz w:val="24"/>
          <w:szCs w:val="24"/>
        </w:rPr>
        <w:t>pre</w:t>
      </w:r>
      <w:proofErr w:type="spellEnd"/>
      <w:r w:rsidRPr="00F55DFF">
        <w:rPr>
          <w:rFonts w:ascii="Calibri" w:eastAsia="Calibri" w:hAnsi="Calibri" w:cs="Times New Roman"/>
          <w:sz w:val="24"/>
          <w:szCs w:val="24"/>
        </w:rPr>
        <w:t>-definiti nella normativa e non considera agevolazioni o clausole particolari che possono far discostare il costo effettivo verso il basso o l'alto”.</w:t>
      </w:r>
    </w:p>
    <w:p w:rsidR="00F55DFF" w:rsidRPr="00F55DFF" w:rsidRDefault="00F55DFF" w:rsidP="00F55DFF">
      <w:pPr>
        <w:spacing w:after="0" w:line="240" w:lineRule="auto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F55DFF">
        <w:rPr>
          <w:rFonts w:ascii="Calibri" w:eastAsia="Calibri" w:hAnsi="Calibri" w:cs="Times New Roman"/>
          <w:sz w:val="24"/>
          <w:szCs w:val="24"/>
        </w:rPr>
        <w:t xml:space="preserve">   Adusbef e Federconsumatori, per confermare la bontà e la rigorosa metodologia attuata sui costi dei conti correnti, il </w:t>
      </w:r>
      <w:r w:rsidR="00885F61">
        <w:rPr>
          <w:rFonts w:ascii="Calibri" w:eastAsia="Calibri" w:hAnsi="Calibri" w:cs="Times New Roman"/>
          <w:sz w:val="24"/>
          <w:szCs w:val="24"/>
        </w:rPr>
        <w:t>1</w:t>
      </w:r>
      <w:r w:rsidRPr="00F55DFF">
        <w:rPr>
          <w:rFonts w:ascii="Calibri" w:eastAsia="Calibri" w:hAnsi="Calibri" w:cs="Times New Roman"/>
          <w:sz w:val="24"/>
          <w:szCs w:val="24"/>
        </w:rPr>
        <w:t xml:space="preserve"> luglio 2013, confronta</w:t>
      </w:r>
      <w:r w:rsidR="00035B39">
        <w:rPr>
          <w:rFonts w:ascii="Calibri" w:eastAsia="Calibri" w:hAnsi="Calibri" w:cs="Times New Roman"/>
          <w:sz w:val="24"/>
          <w:szCs w:val="24"/>
        </w:rPr>
        <w:t>va</w:t>
      </w:r>
      <w:r w:rsidRPr="00F55DFF">
        <w:rPr>
          <w:rFonts w:ascii="Calibri" w:eastAsia="Calibri" w:hAnsi="Calibri" w:cs="Times New Roman"/>
          <w:sz w:val="24"/>
          <w:szCs w:val="24"/>
        </w:rPr>
        <w:t xml:space="preserve"> il monitoraggio con il sito ABI PATTI CHIARI (</w:t>
      </w:r>
      <w:hyperlink r:id="rId6" w:history="1">
        <w:r w:rsidRPr="00F55DFF">
          <w:rPr>
            <w:rFonts w:ascii="Calibri" w:eastAsia="Calibri" w:hAnsi="Calibri" w:cs="Times New Roman"/>
            <w:color w:val="0000FF" w:themeColor="hyperlink"/>
            <w:sz w:val="24"/>
            <w:szCs w:val="24"/>
            <w:u w:val="single"/>
          </w:rPr>
          <w:t>www.pattichiari.it</w:t>
        </w:r>
      </w:hyperlink>
      <w:r w:rsidRPr="00F55DFF">
        <w:rPr>
          <w:rFonts w:ascii="Calibri" w:eastAsia="Calibri" w:hAnsi="Calibri" w:cs="Times New Roman"/>
          <w:sz w:val="24"/>
          <w:szCs w:val="24"/>
        </w:rPr>
        <w:t>.), ricavando  l’Indicatore sintetico di costo</w:t>
      </w:r>
      <w:r w:rsidR="00DF57B1">
        <w:rPr>
          <w:rFonts w:ascii="Calibri" w:eastAsia="Calibri" w:hAnsi="Calibri" w:cs="Times New Roman"/>
          <w:sz w:val="24"/>
          <w:szCs w:val="24"/>
        </w:rPr>
        <w:t xml:space="preserve"> di</w:t>
      </w:r>
      <w:r w:rsidRPr="00F55DFF">
        <w:rPr>
          <w:rFonts w:ascii="Calibri" w:eastAsia="Calibri" w:hAnsi="Calibri" w:cs="Times New Roman"/>
          <w:sz w:val="24"/>
          <w:szCs w:val="24"/>
        </w:rPr>
        <w:t xml:space="preserve"> 59 banche che  </w:t>
      </w:r>
      <w:r w:rsidR="00DF57B1">
        <w:rPr>
          <w:rFonts w:ascii="Calibri" w:eastAsia="Calibri" w:hAnsi="Calibri" w:cs="Times New Roman"/>
          <w:sz w:val="24"/>
          <w:szCs w:val="24"/>
        </w:rPr>
        <w:t xml:space="preserve">avevano </w:t>
      </w:r>
      <w:r w:rsidRPr="00F55DFF">
        <w:rPr>
          <w:rFonts w:ascii="Calibri" w:eastAsia="Calibri" w:hAnsi="Calibri" w:cs="Times New Roman"/>
          <w:sz w:val="24"/>
          <w:szCs w:val="24"/>
        </w:rPr>
        <w:t>optato per l’indicazione  di un ISC calcolato su un profilo di clientela</w:t>
      </w:r>
      <w:r w:rsidR="00DF57B1">
        <w:rPr>
          <w:rFonts w:ascii="Calibri" w:eastAsia="Calibri" w:hAnsi="Calibri" w:cs="Times New Roman"/>
          <w:sz w:val="24"/>
          <w:szCs w:val="24"/>
        </w:rPr>
        <w:t>,</w:t>
      </w:r>
      <w:r w:rsidR="00035B39">
        <w:rPr>
          <w:rFonts w:ascii="Calibri" w:eastAsia="Calibri" w:hAnsi="Calibri" w:cs="Times New Roman"/>
          <w:sz w:val="24"/>
          <w:szCs w:val="24"/>
        </w:rPr>
        <w:t xml:space="preserve"> </w:t>
      </w:r>
      <w:r w:rsidRPr="00F55DFF">
        <w:rPr>
          <w:rFonts w:ascii="Calibri" w:eastAsia="Calibri" w:hAnsi="Calibri" w:cs="Times New Roman"/>
          <w:sz w:val="24"/>
          <w:szCs w:val="24"/>
        </w:rPr>
        <w:t xml:space="preserve">che utilizza il conto con  bassa operatività, arrivando a conclusioni ancora più </w:t>
      </w:r>
      <w:r w:rsidR="00DF57B1">
        <w:rPr>
          <w:rFonts w:ascii="Calibri" w:eastAsia="Calibri" w:hAnsi="Calibri" w:cs="Times New Roman"/>
          <w:sz w:val="24"/>
          <w:szCs w:val="24"/>
        </w:rPr>
        <w:t>pesanti ri</w:t>
      </w:r>
      <w:r w:rsidRPr="00F55DFF">
        <w:rPr>
          <w:rFonts w:ascii="Calibri" w:eastAsia="Calibri" w:hAnsi="Calibri" w:cs="Times New Roman"/>
          <w:sz w:val="24"/>
          <w:szCs w:val="24"/>
        </w:rPr>
        <w:t>spetto al</w:t>
      </w:r>
      <w:r w:rsidR="00DF57B1">
        <w:rPr>
          <w:rFonts w:ascii="Calibri" w:eastAsia="Calibri" w:hAnsi="Calibri" w:cs="Times New Roman"/>
          <w:sz w:val="24"/>
          <w:szCs w:val="24"/>
        </w:rPr>
        <w:t xml:space="preserve"> campione delle prime </w:t>
      </w:r>
      <w:r w:rsidRPr="00F55DFF">
        <w:rPr>
          <w:rFonts w:ascii="Calibri" w:eastAsia="Calibri" w:hAnsi="Calibri" w:cs="Times New Roman"/>
          <w:sz w:val="24"/>
          <w:szCs w:val="24"/>
        </w:rPr>
        <w:t>10 banche monitorate</w:t>
      </w:r>
      <w:r w:rsidR="00DF57B1">
        <w:rPr>
          <w:rFonts w:ascii="Calibri" w:eastAsia="Calibri" w:hAnsi="Calibri" w:cs="Times New Roman"/>
          <w:sz w:val="24"/>
          <w:szCs w:val="24"/>
        </w:rPr>
        <w:t xml:space="preserve"> il cui </w:t>
      </w:r>
      <w:r w:rsidRPr="00F55DFF">
        <w:rPr>
          <w:rFonts w:ascii="Calibri" w:eastAsia="Calibri" w:hAnsi="Calibri" w:cs="Times New Roman"/>
          <w:b/>
          <w:sz w:val="24"/>
          <w:szCs w:val="24"/>
        </w:rPr>
        <w:t xml:space="preserve">ISC medio risultante per il campione di 59 banche </w:t>
      </w:r>
      <w:r w:rsidR="00DF57B1">
        <w:rPr>
          <w:rFonts w:ascii="Calibri" w:eastAsia="Calibri" w:hAnsi="Calibri" w:cs="Times New Roman"/>
          <w:b/>
          <w:sz w:val="24"/>
          <w:szCs w:val="24"/>
        </w:rPr>
        <w:t xml:space="preserve">era </w:t>
      </w:r>
      <w:r w:rsidRPr="00F55DFF">
        <w:rPr>
          <w:rFonts w:ascii="Calibri" w:eastAsia="Calibri" w:hAnsi="Calibri" w:cs="Times New Roman"/>
          <w:b/>
          <w:sz w:val="24"/>
          <w:szCs w:val="24"/>
        </w:rPr>
        <w:t>pari a 342 euro.</w:t>
      </w:r>
    </w:p>
    <w:p w:rsidR="00F55DFF" w:rsidRDefault="00F55DFF" w:rsidP="00F55DFF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F55DFF">
        <w:rPr>
          <w:rFonts w:ascii="Calibri" w:eastAsia="Calibri" w:hAnsi="Calibri" w:cs="Times New Roman"/>
          <w:sz w:val="24"/>
          <w:szCs w:val="24"/>
        </w:rPr>
        <w:t xml:space="preserve">   </w:t>
      </w:r>
      <w:r w:rsidR="00035B39">
        <w:rPr>
          <w:rFonts w:ascii="Calibri" w:eastAsia="Calibri" w:hAnsi="Calibri" w:cs="Times New Roman"/>
          <w:sz w:val="24"/>
          <w:szCs w:val="24"/>
        </w:rPr>
        <w:t>Il più costoso era i</w:t>
      </w:r>
      <w:r w:rsidRPr="00F55DFF">
        <w:rPr>
          <w:rFonts w:ascii="Calibri" w:eastAsia="Calibri" w:hAnsi="Calibri" w:cs="Times New Roman"/>
          <w:sz w:val="24"/>
          <w:szCs w:val="24"/>
        </w:rPr>
        <w:t>l conto corrente ordinario della Banca Popolare dell’Emilia Romagna,</w:t>
      </w:r>
      <w:r w:rsidR="00035B39">
        <w:rPr>
          <w:rFonts w:ascii="Calibri" w:eastAsia="Calibri" w:hAnsi="Calibri" w:cs="Times New Roman"/>
          <w:sz w:val="24"/>
          <w:szCs w:val="24"/>
        </w:rPr>
        <w:t xml:space="preserve"> 754 euro; i</w:t>
      </w:r>
      <w:r w:rsidRPr="00F55DFF">
        <w:rPr>
          <w:rFonts w:ascii="Calibri" w:eastAsia="Calibri" w:hAnsi="Calibri" w:cs="Times New Roman"/>
          <w:sz w:val="24"/>
          <w:szCs w:val="24"/>
        </w:rPr>
        <w:t xml:space="preserve">l più </w:t>
      </w:r>
      <w:r w:rsidR="00035B39">
        <w:rPr>
          <w:rFonts w:ascii="Calibri" w:eastAsia="Calibri" w:hAnsi="Calibri" w:cs="Times New Roman"/>
          <w:sz w:val="24"/>
          <w:szCs w:val="24"/>
        </w:rPr>
        <w:t xml:space="preserve">contenuto, 238 euro, quello della </w:t>
      </w:r>
      <w:proofErr w:type="spellStart"/>
      <w:r w:rsidR="00035B39">
        <w:rPr>
          <w:rFonts w:ascii="Calibri" w:eastAsia="Calibri" w:hAnsi="Calibri" w:cs="Times New Roman"/>
          <w:sz w:val="24"/>
          <w:szCs w:val="24"/>
        </w:rPr>
        <w:t>Bnl</w:t>
      </w:r>
      <w:proofErr w:type="spellEnd"/>
      <w:r w:rsidR="00035B39">
        <w:rPr>
          <w:rFonts w:ascii="Calibri" w:eastAsia="Calibri" w:hAnsi="Calibri" w:cs="Times New Roman"/>
          <w:sz w:val="24"/>
          <w:szCs w:val="24"/>
        </w:rPr>
        <w:t>, mentre l</w:t>
      </w:r>
      <w:r w:rsidRPr="00F55DFF">
        <w:rPr>
          <w:rFonts w:ascii="Calibri" w:eastAsia="Calibri" w:hAnsi="Calibri" w:cs="Times New Roman"/>
          <w:sz w:val="24"/>
          <w:szCs w:val="24"/>
        </w:rPr>
        <w:t>’ISC indicato per i conti ordinari dei tre maggiori gruppi bancari, vede</w:t>
      </w:r>
      <w:r w:rsidR="00DF57B1">
        <w:rPr>
          <w:rFonts w:ascii="Calibri" w:eastAsia="Calibri" w:hAnsi="Calibri" w:cs="Times New Roman"/>
          <w:sz w:val="24"/>
          <w:szCs w:val="24"/>
        </w:rPr>
        <w:t>va</w:t>
      </w:r>
      <w:r w:rsidRPr="00F55DFF">
        <w:rPr>
          <w:rFonts w:ascii="Calibri" w:eastAsia="Calibri" w:hAnsi="Calibri" w:cs="Times New Roman"/>
          <w:sz w:val="24"/>
          <w:szCs w:val="24"/>
        </w:rPr>
        <w:t xml:space="preserve"> l’Unicredit a 337,18 euro; il M</w:t>
      </w:r>
      <w:r w:rsidR="00DF57B1">
        <w:rPr>
          <w:rFonts w:ascii="Calibri" w:eastAsia="Calibri" w:hAnsi="Calibri" w:cs="Times New Roman"/>
          <w:sz w:val="24"/>
          <w:szCs w:val="24"/>
        </w:rPr>
        <w:t>PS</w:t>
      </w:r>
      <w:r w:rsidRPr="00F55DFF">
        <w:rPr>
          <w:rFonts w:ascii="Calibri" w:eastAsia="Calibri" w:hAnsi="Calibri" w:cs="Times New Roman"/>
          <w:sz w:val="24"/>
          <w:szCs w:val="24"/>
        </w:rPr>
        <w:t xml:space="preserve"> a 291,30 euro; Intesa San Paolo a 273,20 euro. Ben 5 banche indica</w:t>
      </w:r>
      <w:r w:rsidR="00DF57B1">
        <w:rPr>
          <w:rFonts w:ascii="Calibri" w:eastAsia="Calibri" w:hAnsi="Calibri" w:cs="Times New Roman"/>
          <w:sz w:val="24"/>
          <w:szCs w:val="24"/>
        </w:rPr>
        <w:t>va</w:t>
      </w:r>
      <w:r w:rsidRPr="00F55DFF">
        <w:rPr>
          <w:rFonts w:ascii="Calibri" w:eastAsia="Calibri" w:hAnsi="Calibri" w:cs="Times New Roman"/>
          <w:sz w:val="24"/>
          <w:szCs w:val="24"/>
        </w:rPr>
        <w:t>no un ISC superiore ai 500 euro: la Banca Pop. Emilia Romagna che si colloca</w:t>
      </w:r>
      <w:r w:rsidR="00DF57B1">
        <w:rPr>
          <w:rFonts w:ascii="Calibri" w:eastAsia="Calibri" w:hAnsi="Calibri" w:cs="Times New Roman"/>
          <w:sz w:val="24"/>
          <w:szCs w:val="24"/>
        </w:rPr>
        <w:t>va</w:t>
      </w:r>
      <w:r w:rsidRPr="00F55DFF">
        <w:rPr>
          <w:rFonts w:ascii="Calibri" w:eastAsia="Calibri" w:hAnsi="Calibri" w:cs="Times New Roman"/>
          <w:sz w:val="24"/>
          <w:szCs w:val="24"/>
        </w:rPr>
        <w:t xml:space="preserve"> a 754,75 euro; la Banca della Campania a 689,38 euro; Il Banco di Sardegna a 621,81; la Banca di Sassari a 593,63 e la Banca Pop. di Ravenna a 515,72.</w:t>
      </w:r>
    </w:p>
    <w:p w:rsidR="00077D31" w:rsidRPr="00F55DFF" w:rsidRDefault="00077D31" w:rsidP="00F55DFF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   La massiccia indagine Antitrust </w:t>
      </w:r>
      <w:r w:rsidR="00035B39">
        <w:rPr>
          <w:rFonts w:ascii="Calibri" w:eastAsia="Calibri" w:hAnsi="Calibri" w:cs="Times New Roman"/>
          <w:sz w:val="24"/>
          <w:szCs w:val="24"/>
        </w:rPr>
        <w:t xml:space="preserve">iniziata nel 2011, </w:t>
      </w:r>
      <w:r>
        <w:rPr>
          <w:rFonts w:ascii="Calibri" w:eastAsia="Calibri" w:hAnsi="Calibri" w:cs="Times New Roman"/>
          <w:sz w:val="24"/>
          <w:szCs w:val="24"/>
        </w:rPr>
        <w:t>pubblicata a metà settembre 2013, con un</w:t>
      </w:r>
      <w:r w:rsidRPr="00077D31">
        <w:rPr>
          <w:rFonts w:ascii="Calibri" w:eastAsia="Calibri" w:hAnsi="Calibri" w:cs="Times New Roman"/>
          <w:sz w:val="24"/>
          <w:szCs w:val="24"/>
        </w:rPr>
        <w:t xml:space="preserve"> campione costituito da 52 banche e oltre 14.500 sportelli, con una rappresentatività pari al 44%</w:t>
      </w:r>
      <w:r>
        <w:rPr>
          <w:rFonts w:ascii="Calibri" w:eastAsia="Calibri" w:hAnsi="Calibri" w:cs="Times New Roman"/>
          <w:sz w:val="24"/>
          <w:szCs w:val="24"/>
        </w:rPr>
        <w:t xml:space="preserve">, sconfessava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Bankitalia</w:t>
      </w:r>
      <w:proofErr w:type="spellEnd"/>
      <w:r>
        <w:rPr>
          <w:rFonts w:ascii="Calibri" w:eastAsia="Calibri" w:hAnsi="Calibri" w:cs="Times New Roman"/>
          <w:sz w:val="24"/>
          <w:szCs w:val="24"/>
        </w:rPr>
        <w:t xml:space="preserve"> e confermava i nostri dati, arrivando a conclude</w:t>
      </w:r>
      <w:r w:rsidR="00035B39">
        <w:rPr>
          <w:rFonts w:ascii="Calibri" w:eastAsia="Calibri" w:hAnsi="Calibri" w:cs="Times New Roman"/>
          <w:sz w:val="24"/>
          <w:szCs w:val="24"/>
        </w:rPr>
        <w:t>re che una maggiore concorrenza poteva portare a risparmi annui di ben 180 euro.</w:t>
      </w:r>
    </w:p>
    <w:p w:rsidR="00885F61" w:rsidRDefault="00035B39" w:rsidP="00885F61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   Per rispondere con dati e cifre alle bugie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dell’Abi</w:t>
      </w:r>
      <w:proofErr w:type="spellEnd"/>
      <w:r>
        <w:rPr>
          <w:rFonts w:ascii="Calibri" w:eastAsia="Calibri" w:hAnsi="Calibri" w:cs="Times New Roman"/>
          <w:sz w:val="24"/>
          <w:szCs w:val="24"/>
        </w:rPr>
        <w:t>, che nei giorni scorsi aveva affermato ch</w:t>
      </w:r>
      <w:r w:rsidR="00885F61">
        <w:rPr>
          <w:rFonts w:ascii="Calibri" w:eastAsia="Calibri" w:hAnsi="Calibri" w:cs="Times New Roman"/>
          <w:sz w:val="24"/>
          <w:szCs w:val="24"/>
        </w:rPr>
        <w:t xml:space="preserve">e il costo medio di un conto corrente era ancora sceso, collocandosi sotto i 100 euro, </w:t>
      </w:r>
      <w:r w:rsidR="00F55DFF" w:rsidRPr="00DF57B1">
        <w:rPr>
          <w:rFonts w:ascii="Calibri" w:eastAsia="Calibri" w:hAnsi="Calibri" w:cs="Times New Roman"/>
          <w:sz w:val="24"/>
          <w:szCs w:val="24"/>
        </w:rPr>
        <w:t xml:space="preserve"> </w:t>
      </w:r>
      <w:r w:rsidR="00885F61">
        <w:rPr>
          <w:rFonts w:ascii="Calibri" w:eastAsia="Calibri" w:hAnsi="Calibri" w:cs="Times New Roman"/>
          <w:sz w:val="24"/>
          <w:szCs w:val="24"/>
        </w:rPr>
        <w:t>Adusbef ha effettuato in data 8 ottobre 2013 un</w:t>
      </w:r>
      <w:r w:rsidR="00F55DFF" w:rsidRPr="00DF57B1">
        <w:rPr>
          <w:rFonts w:ascii="Calibri" w:eastAsia="Calibri" w:hAnsi="Calibri" w:cs="Times New Roman"/>
          <w:sz w:val="24"/>
          <w:szCs w:val="24"/>
        </w:rPr>
        <w:t xml:space="preserve"> </w:t>
      </w:r>
      <w:r w:rsidR="00885F61">
        <w:rPr>
          <w:rFonts w:ascii="Calibri" w:eastAsia="Calibri" w:hAnsi="Calibri" w:cs="Times New Roman"/>
          <w:sz w:val="24"/>
          <w:szCs w:val="24"/>
        </w:rPr>
        <w:t>monitoraggio su 56 banche (r</w:t>
      </w:r>
      <w:r w:rsidR="005E7F8F" w:rsidRPr="00DF57B1">
        <w:rPr>
          <w:rFonts w:ascii="Calibri" w:eastAsia="Calibri" w:hAnsi="Calibri" w:cs="Times New Roman"/>
          <w:sz w:val="24"/>
          <w:szCs w:val="24"/>
        </w:rPr>
        <w:t xml:space="preserve">ispetto alla precedente rilevazione del 1° luglio 2013, in cui le banche erano 59, non </w:t>
      </w:r>
      <w:r w:rsidR="002F11C7">
        <w:rPr>
          <w:rFonts w:ascii="Calibri" w:eastAsia="Calibri" w:hAnsi="Calibri" w:cs="Times New Roman"/>
          <w:sz w:val="24"/>
          <w:szCs w:val="24"/>
        </w:rPr>
        <w:t>essendo</w:t>
      </w:r>
      <w:r w:rsidR="005E7F8F" w:rsidRPr="00DF57B1">
        <w:rPr>
          <w:rFonts w:ascii="Calibri" w:eastAsia="Calibri" w:hAnsi="Calibri" w:cs="Times New Roman"/>
          <w:sz w:val="24"/>
          <w:szCs w:val="24"/>
        </w:rPr>
        <w:t xml:space="preserve"> </w:t>
      </w:r>
      <w:r w:rsidR="00885F61">
        <w:rPr>
          <w:rFonts w:ascii="Calibri" w:eastAsia="Calibri" w:hAnsi="Calibri" w:cs="Times New Roman"/>
          <w:sz w:val="24"/>
          <w:szCs w:val="24"/>
        </w:rPr>
        <w:t xml:space="preserve">più </w:t>
      </w:r>
      <w:r w:rsidR="005E7F8F" w:rsidRPr="00DF57B1">
        <w:rPr>
          <w:rFonts w:ascii="Calibri" w:eastAsia="Calibri" w:hAnsi="Calibri" w:cs="Times New Roman"/>
          <w:sz w:val="24"/>
          <w:szCs w:val="24"/>
        </w:rPr>
        <w:t xml:space="preserve">presenti sul sito </w:t>
      </w:r>
      <w:hyperlink r:id="rId7" w:history="1">
        <w:r w:rsidR="005E7F8F" w:rsidRPr="00DF57B1">
          <w:rPr>
            <w:rFonts w:ascii="Calibri" w:eastAsia="Calibri" w:hAnsi="Calibri" w:cs="Times New Roman"/>
            <w:sz w:val="24"/>
            <w:szCs w:val="24"/>
          </w:rPr>
          <w:t>www.pattichiari.it</w:t>
        </w:r>
      </w:hyperlink>
      <w:r w:rsidR="00885F61">
        <w:rPr>
          <w:rFonts w:ascii="Calibri" w:eastAsia="Calibri" w:hAnsi="Calibri" w:cs="Times New Roman"/>
          <w:sz w:val="24"/>
          <w:szCs w:val="24"/>
        </w:rPr>
        <w:t xml:space="preserve">. </w:t>
      </w:r>
      <w:r w:rsidR="005E7F8F" w:rsidRPr="00DF57B1">
        <w:rPr>
          <w:rFonts w:ascii="Calibri" w:eastAsia="Calibri" w:hAnsi="Calibri" w:cs="Times New Roman"/>
          <w:sz w:val="24"/>
          <w:szCs w:val="24"/>
        </w:rPr>
        <w:t xml:space="preserve"> la Banca Popolare di Puglia e Basilicata, la Banca di Legnano e la </w:t>
      </w:r>
      <w:proofErr w:type="spellStart"/>
      <w:r w:rsidR="005E7F8F" w:rsidRPr="00DF57B1">
        <w:rPr>
          <w:rFonts w:ascii="Calibri" w:eastAsia="Calibri" w:hAnsi="Calibri" w:cs="Times New Roman"/>
          <w:sz w:val="24"/>
          <w:szCs w:val="24"/>
        </w:rPr>
        <w:t>Carichieti</w:t>
      </w:r>
      <w:proofErr w:type="spellEnd"/>
      <w:r w:rsidR="005E7F8F" w:rsidRPr="00DF57B1">
        <w:rPr>
          <w:rFonts w:ascii="Calibri" w:eastAsia="Calibri" w:hAnsi="Calibri" w:cs="Times New Roman"/>
          <w:sz w:val="24"/>
          <w:szCs w:val="24"/>
        </w:rPr>
        <w:t xml:space="preserve">. </w:t>
      </w:r>
      <w:r w:rsidR="00021BC4" w:rsidRPr="00DF57B1">
        <w:rPr>
          <w:rFonts w:ascii="Calibri" w:eastAsia="Calibri" w:hAnsi="Calibri" w:cs="Times New Roman"/>
          <w:sz w:val="24"/>
          <w:szCs w:val="24"/>
        </w:rPr>
        <w:br/>
      </w:r>
      <w:r w:rsidR="002F11C7">
        <w:rPr>
          <w:rFonts w:ascii="Calibri" w:eastAsia="Calibri" w:hAnsi="Calibri" w:cs="Times New Roman"/>
          <w:sz w:val="24"/>
          <w:szCs w:val="24"/>
        </w:rPr>
        <w:t xml:space="preserve">   </w:t>
      </w:r>
      <w:r w:rsidR="00021BC4" w:rsidRPr="00DF57B1">
        <w:rPr>
          <w:rFonts w:ascii="Calibri" w:eastAsia="Calibri" w:hAnsi="Calibri" w:cs="Times New Roman"/>
          <w:sz w:val="24"/>
          <w:szCs w:val="24"/>
        </w:rPr>
        <w:t>L’ ISC medio all’ 8 ottobre 2013 è di 346,64 euro, a fronte dei 342 del 1° luglio 2013 (quando le banche rilevate erano 59 e non 56</w:t>
      </w:r>
      <w:r w:rsidR="002F11C7">
        <w:rPr>
          <w:rFonts w:ascii="Calibri" w:eastAsia="Calibri" w:hAnsi="Calibri" w:cs="Times New Roman"/>
          <w:sz w:val="24"/>
          <w:szCs w:val="24"/>
        </w:rPr>
        <w:t>, con un incremento del 2</w:t>
      </w:r>
      <w:r w:rsidR="00EB0D2E">
        <w:rPr>
          <w:rFonts w:ascii="Calibri" w:eastAsia="Calibri" w:hAnsi="Calibri" w:cs="Times New Roman"/>
          <w:sz w:val="24"/>
          <w:szCs w:val="24"/>
        </w:rPr>
        <w:t>,51% in un trimestre</w:t>
      </w:r>
      <w:r w:rsidR="00021BC4" w:rsidRPr="00DF57B1">
        <w:rPr>
          <w:rFonts w:ascii="Calibri" w:eastAsia="Calibri" w:hAnsi="Calibri" w:cs="Times New Roman"/>
          <w:sz w:val="24"/>
          <w:szCs w:val="24"/>
        </w:rPr>
        <w:t>).</w:t>
      </w:r>
      <w:r w:rsidR="00885F61">
        <w:rPr>
          <w:rFonts w:ascii="Calibri" w:eastAsia="Calibri" w:hAnsi="Calibri" w:cs="Times New Roman"/>
          <w:sz w:val="24"/>
          <w:szCs w:val="24"/>
        </w:rPr>
        <w:t xml:space="preserve"> </w:t>
      </w:r>
      <w:r w:rsidR="003C1BB6" w:rsidRPr="00DF57B1">
        <w:rPr>
          <w:rFonts w:ascii="Calibri" w:eastAsia="Calibri" w:hAnsi="Calibri" w:cs="Times New Roman"/>
          <w:sz w:val="24"/>
          <w:szCs w:val="24"/>
        </w:rPr>
        <w:t xml:space="preserve">I </w:t>
      </w:r>
      <w:r w:rsidR="00EB0D2E">
        <w:rPr>
          <w:rFonts w:ascii="Calibri" w:eastAsia="Calibri" w:hAnsi="Calibri" w:cs="Times New Roman"/>
          <w:sz w:val="24"/>
          <w:szCs w:val="24"/>
        </w:rPr>
        <w:t>due</w:t>
      </w:r>
      <w:r w:rsidR="003C1BB6" w:rsidRPr="00DF57B1">
        <w:rPr>
          <w:rFonts w:ascii="Calibri" w:eastAsia="Calibri" w:hAnsi="Calibri" w:cs="Times New Roman"/>
          <w:sz w:val="24"/>
          <w:szCs w:val="24"/>
        </w:rPr>
        <w:t xml:space="preserve"> ISC massimo e minimo non presentano variazioni rispetto a luglio: infatti l’ ISC più alto continua ad essere quello di Banca Popolare dell’ Emilia-Romagna, che ammonta a 754,75 euro; quello più contenuto è ancora quello della Banca Nazionale del Lavoro 238,35. Su 56 banche analizzate, 13 presentano un ISC variato rispetto a luglio. Si rileva che le poche variazioni riscontrate </w:t>
      </w:r>
      <w:r w:rsidR="008D1060" w:rsidRPr="00DF57B1">
        <w:rPr>
          <w:rFonts w:ascii="Calibri" w:eastAsia="Calibri" w:hAnsi="Calibri" w:cs="Times New Roman"/>
          <w:sz w:val="24"/>
          <w:szCs w:val="24"/>
        </w:rPr>
        <w:t xml:space="preserve">sono tutte al rialzo; non ci sono, dunque, banche il cui ISC sia diminuito. </w:t>
      </w:r>
      <w:r w:rsidR="00885F61">
        <w:rPr>
          <w:rFonts w:ascii="Calibri" w:eastAsia="Calibri" w:hAnsi="Calibri" w:cs="Times New Roman"/>
          <w:sz w:val="24"/>
          <w:szCs w:val="24"/>
        </w:rPr>
        <w:t xml:space="preserve"> </w:t>
      </w:r>
      <w:r w:rsidR="00DB2C34" w:rsidRPr="00DF57B1">
        <w:rPr>
          <w:rFonts w:ascii="Calibri" w:eastAsia="Calibri" w:hAnsi="Calibri" w:cs="Times New Roman"/>
          <w:sz w:val="24"/>
          <w:szCs w:val="24"/>
        </w:rPr>
        <w:t>L’ aumento più marcato è quello della Banca di Sassari, il cui ISC è balzat</w:t>
      </w:r>
      <w:r w:rsidR="00617410" w:rsidRPr="00DF57B1">
        <w:rPr>
          <w:rFonts w:ascii="Calibri" w:eastAsia="Calibri" w:hAnsi="Calibri" w:cs="Times New Roman"/>
          <w:sz w:val="24"/>
          <w:szCs w:val="24"/>
        </w:rPr>
        <w:t xml:space="preserve">o da 593,63 euro a 633,15 euro, quasi 40 euro in più. In termini percentuali l’ incremento è stato del 6,66%. Seguono poi la Banca Popolare di Mantova (14,05 euro in più, </w:t>
      </w:r>
      <w:r w:rsidR="00721FC0" w:rsidRPr="00DF57B1">
        <w:rPr>
          <w:rFonts w:ascii="Calibri" w:eastAsia="Calibri" w:hAnsi="Calibri" w:cs="Times New Roman"/>
          <w:sz w:val="24"/>
          <w:szCs w:val="24"/>
        </w:rPr>
        <w:t>con aumento percentuale del 5,29</w:t>
      </w:r>
      <w:r w:rsidR="00617410" w:rsidRPr="00DF57B1">
        <w:rPr>
          <w:rFonts w:ascii="Calibri" w:eastAsia="Calibri" w:hAnsi="Calibri" w:cs="Times New Roman"/>
          <w:sz w:val="24"/>
          <w:szCs w:val="24"/>
        </w:rPr>
        <w:t>%) e la Banca Popolare di Milano (13,55 euro in più e il 4,97% in più).</w:t>
      </w:r>
      <w:r w:rsidR="00EB0D2E">
        <w:rPr>
          <w:rFonts w:ascii="Calibri" w:eastAsia="Calibri" w:hAnsi="Calibri" w:cs="Times New Roman"/>
          <w:sz w:val="24"/>
          <w:szCs w:val="24"/>
        </w:rPr>
        <w:t xml:space="preserve"> </w:t>
      </w:r>
      <w:r w:rsidR="00885F61">
        <w:rPr>
          <w:rFonts w:ascii="Calibri" w:eastAsia="Calibri" w:hAnsi="Calibri" w:cs="Times New Roman"/>
          <w:sz w:val="24"/>
          <w:szCs w:val="24"/>
        </w:rPr>
        <w:t>L</w:t>
      </w:r>
      <w:r w:rsidR="008D4321" w:rsidRPr="00DF57B1">
        <w:rPr>
          <w:rFonts w:ascii="Calibri" w:eastAsia="Calibri" w:hAnsi="Calibri" w:cs="Times New Roman"/>
          <w:sz w:val="24"/>
          <w:szCs w:val="24"/>
        </w:rPr>
        <w:t xml:space="preserve">’ incremento più </w:t>
      </w:r>
      <w:r w:rsidR="00885F61">
        <w:rPr>
          <w:rFonts w:ascii="Calibri" w:eastAsia="Calibri" w:hAnsi="Calibri" w:cs="Times New Roman"/>
          <w:sz w:val="24"/>
          <w:szCs w:val="24"/>
        </w:rPr>
        <w:t xml:space="preserve">contenuto è del </w:t>
      </w:r>
      <w:r w:rsidR="008D4321" w:rsidRPr="00DF57B1">
        <w:rPr>
          <w:rFonts w:ascii="Calibri" w:eastAsia="Calibri" w:hAnsi="Calibri" w:cs="Times New Roman"/>
          <w:sz w:val="24"/>
          <w:szCs w:val="24"/>
        </w:rPr>
        <w:t>M</w:t>
      </w:r>
      <w:r>
        <w:rPr>
          <w:rFonts w:ascii="Calibri" w:eastAsia="Calibri" w:hAnsi="Calibri" w:cs="Times New Roman"/>
          <w:sz w:val="24"/>
          <w:szCs w:val="24"/>
        </w:rPr>
        <w:t>PS</w:t>
      </w:r>
      <w:r w:rsidR="008D4321" w:rsidRPr="00DF57B1">
        <w:rPr>
          <w:rFonts w:ascii="Calibri" w:eastAsia="Calibri" w:hAnsi="Calibri" w:cs="Times New Roman"/>
          <w:sz w:val="24"/>
          <w:szCs w:val="24"/>
        </w:rPr>
        <w:t>:  2,10 euro in più</w:t>
      </w:r>
      <w:r>
        <w:rPr>
          <w:rFonts w:ascii="Calibri" w:eastAsia="Calibri" w:hAnsi="Calibri" w:cs="Times New Roman"/>
          <w:sz w:val="24"/>
          <w:szCs w:val="24"/>
        </w:rPr>
        <w:t>,</w:t>
      </w:r>
      <w:r w:rsidR="00885F61">
        <w:rPr>
          <w:rFonts w:ascii="Calibri" w:eastAsia="Calibri" w:hAnsi="Calibri" w:cs="Times New Roman"/>
          <w:sz w:val="24"/>
          <w:szCs w:val="24"/>
        </w:rPr>
        <w:t xml:space="preserve"> di 2,28 euro quello </w:t>
      </w:r>
      <w:r w:rsidR="008D4321" w:rsidRPr="00DF57B1">
        <w:rPr>
          <w:rFonts w:ascii="Calibri" w:eastAsia="Calibri" w:hAnsi="Calibri" w:cs="Times New Roman"/>
          <w:sz w:val="24"/>
          <w:szCs w:val="24"/>
        </w:rPr>
        <w:t>della Banca della Campania</w:t>
      </w:r>
      <w:r w:rsidR="00885F61">
        <w:rPr>
          <w:rFonts w:ascii="Calibri" w:eastAsia="Calibri" w:hAnsi="Calibri" w:cs="Times New Roman"/>
          <w:sz w:val="24"/>
          <w:szCs w:val="24"/>
        </w:rPr>
        <w:t xml:space="preserve">. </w:t>
      </w:r>
    </w:p>
    <w:p w:rsidR="00885F61" w:rsidRDefault="00885F61" w:rsidP="00885F61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     Adusbef e Federconsumatori, di fronte a costi di gestione dei conti correnti scandalosi, ben 347 euro medi contro 114 euro media Ue</w:t>
      </w:r>
      <w:r w:rsidR="00EB0D2E">
        <w:rPr>
          <w:rFonts w:ascii="Calibri" w:eastAsia="Calibri" w:hAnsi="Calibri" w:cs="Times New Roman"/>
          <w:sz w:val="24"/>
          <w:szCs w:val="24"/>
        </w:rPr>
        <w:t xml:space="preserve"> (indagine su 27 paesi del commissario Ue Michel </w:t>
      </w:r>
      <w:proofErr w:type="spellStart"/>
      <w:r w:rsidR="00EB0D2E">
        <w:rPr>
          <w:rFonts w:ascii="Calibri" w:eastAsia="Calibri" w:hAnsi="Calibri" w:cs="Times New Roman"/>
          <w:sz w:val="24"/>
          <w:szCs w:val="24"/>
        </w:rPr>
        <w:t>Barnier</w:t>
      </w:r>
      <w:proofErr w:type="spellEnd"/>
      <w:r w:rsidR="00EB0D2E">
        <w:rPr>
          <w:rFonts w:ascii="Calibri" w:eastAsia="Calibri" w:hAnsi="Calibri" w:cs="Times New Roman"/>
          <w:sz w:val="24"/>
          <w:szCs w:val="24"/>
        </w:rPr>
        <w:t>)</w:t>
      </w:r>
      <w:r>
        <w:rPr>
          <w:rFonts w:ascii="Calibri" w:eastAsia="Calibri" w:hAnsi="Calibri" w:cs="Times New Roman"/>
          <w:sz w:val="24"/>
          <w:szCs w:val="24"/>
        </w:rPr>
        <w:t xml:space="preserve">, di un sistema bancario che addossa sulla </w:t>
      </w:r>
      <w:r w:rsidR="00EB0D2E">
        <w:rPr>
          <w:rFonts w:ascii="Calibri" w:eastAsia="Calibri" w:hAnsi="Calibri" w:cs="Times New Roman"/>
          <w:sz w:val="24"/>
          <w:szCs w:val="24"/>
        </w:rPr>
        <w:t xml:space="preserve">pelle della </w:t>
      </w:r>
      <w:r>
        <w:rPr>
          <w:rFonts w:ascii="Calibri" w:eastAsia="Calibri" w:hAnsi="Calibri" w:cs="Times New Roman"/>
          <w:sz w:val="24"/>
          <w:szCs w:val="24"/>
        </w:rPr>
        <w:t xml:space="preserve">clientela le proprie inefficienze, </w:t>
      </w:r>
      <w:r w:rsidR="0004682E">
        <w:rPr>
          <w:rFonts w:ascii="Calibri" w:eastAsia="Calibri" w:hAnsi="Calibri" w:cs="Times New Roman"/>
          <w:sz w:val="24"/>
          <w:szCs w:val="24"/>
        </w:rPr>
        <w:t xml:space="preserve">un continuo salasso degli utenti, </w:t>
      </w:r>
      <w:r>
        <w:rPr>
          <w:rFonts w:ascii="Calibri" w:eastAsia="Calibri" w:hAnsi="Calibri" w:cs="Times New Roman"/>
          <w:sz w:val="24"/>
          <w:szCs w:val="24"/>
        </w:rPr>
        <w:t>per</w:t>
      </w:r>
      <w:r w:rsidR="0004682E">
        <w:rPr>
          <w:rFonts w:ascii="Calibri" w:eastAsia="Calibri" w:hAnsi="Calibri" w:cs="Times New Roman"/>
          <w:sz w:val="24"/>
          <w:szCs w:val="24"/>
        </w:rPr>
        <w:t xml:space="preserve"> garantire retribuzioni d’oro e buone uscite milionarie ai dirigenti, non potendosi aspettare nulla dalla Banca d’Italia, i cui interessi confliggenti coincidono con quelli dei banchieri, chiede al Governo misure incisive per calmierare un saccheggio sistematico dei risparmi delle famiglie, obbligate ad avere un conto in banca. </w:t>
      </w:r>
      <w:r>
        <w:rPr>
          <w:rFonts w:ascii="Calibri" w:eastAsia="Calibri" w:hAnsi="Calibri" w:cs="Times New Roman"/>
          <w:sz w:val="24"/>
          <w:szCs w:val="24"/>
        </w:rPr>
        <w:t xml:space="preserve"> </w:t>
      </w:r>
    </w:p>
    <w:p w:rsidR="00885F61" w:rsidRDefault="00885F61" w:rsidP="00885F61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035B39" w:rsidRPr="00035B39" w:rsidRDefault="00035B39" w:rsidP="00885F61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                                                                </w:t>
      </w:r>
      <w:r w:rsidRPr="00035B39">
        <w:rPr>
          <w:rFonts w:ascii="Calibri" w:eastAsia="Calibri" w:hAnsi="Calibri" w:cs="Times New Roman"/>
          <w:sz w:val="24"/>
          <w:szCs w:val="24"/>
        </w:rPr>
        <w:t xml:space="preserve">Elio Lannutti (Adusbef) – Rosario </w:t>
      </w:r>
      <w:proofErr w:type="spellStart"/>
      <w:r w:rsidRPr="00035B39">
        <w:rPr>
          <w:rFonts w:ascii="Calibri" w:eastAsia="Calibri" w:hAnsi="Calibri" w:cs="Times New Roman"/>
          <w:sz w:val="24"/>
          <w:szCs w:val="24"/>
        </w:rPr>
        <w:t>Trefiletti</w:t>
      </w:r>
      <w:proofErr w:type="spellEnd"/>
      <w:r w:rsidRPr="00035B39">
        <w:rPr>
          <w:rFonts w:ascii="Calibri" w:eastAsia="Calibri" w:hAnsi="Calibri" w:cs="Times New Roman"/>
          <w:sz w:val="24"/>
          <w:szCs w:val="24"/>
        </w:rPr>
        <w:t xml:space="preserve"> (Federconsumatori)</w:t>
      </w:r>
    </w:p>
    <w:p w:rsidR="002B052D" w:rsidRPr="00035B39" w:rsidRDefault="00035B39" w:rsidP="00F55DFF">
      <w:pPr>
        <w:rPr>
          <w:rFonts w:ascii="Calibri" w:eastAsia="Calibri" w:hAnsi="Calibri" w:cs="Times New Roman"/>
          <w:sz w:val="24"/>
          <w:szCs w:val="24"/>
        </w:rPr>
      </w:pPr>
      <w:r w:rsidRPr="00035B39">
        <w:rPr>
          <w:rFonts w:ascii="Calibri" w:eastAsia="Calibri" w:hAnsi="Calibri" w:cs="Times New Roman"/>
          <w:sz w:val="24"/>
          <w:szCs w:val="24"/>
        </w:rPr>
        <w:t>Roma,</w:t>
      </w:r>
      <w:r>
        <w:rPr>
          <w:rFonts w:ascii="Calibri" w:eastAsia="Calibri" w:hAnsi="Calibri" w:cs="Times New Roman"/>
          <w:sz w:val="24"/>
          <w:szCs w:val="24"/>
        </w:rPr>
        <w:t xml:space="preserve"> 9.10.2013</w:t>
      </w:r>
    </w:p>
    <w:p w:rsidR="008D4321" w:rsidRDefault="008D4321" w:rsidP="00F55DFF">
      <w:pPr>
        <w:pStyle w:val="Titolo2"/>
        <w:jc w:val="both"/>
        <w:rPr>
          <w:sz w:val="20"/>
          <w:szCs w:val="20"/>
        </w:rPr>
      </w:pPr>
    </w:p>
    <w:p w:rsidR="00681585" w:rsidRDefault="00681585" w:rsidP="008D4321">
      <w:pPr>
        <w:jc w:val="center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 xml:space="preserve">Fonte </w:t>
      </w:r>
      <w:proofErr w:type="spellStart"/>
      <w:r>
        <w:rPr>
          <w:rFonts w:ascii="Century Gothic" w:hAnsi="Century Gothic"/>
          <w:b/>
          <w:sz w:val="20"/>
          <w:szCs w:val="20"/>
        </w:rPr>
        <w:t>PattiChiari</w:t>
      </w:r>
      <w:proofErr w:type="spellEnd"/>
      <w:r>
        <w:rPr>
          <w:rFonts w:ascii="Century Gothic" w:hAnsi="Century Gothic"/>
          <w:b/>
          <w:sz w:val="20"/>
          <w:szCs w:val="20"/>
        </w:rPr>
        <w:t xml:space="preserve">  Rilevazione del 1°</w:t>
      </w:r>
      <w:r w:rsidR="00B50FA5">
        <w:rPr>
          <w:rFonts w:ascii="Century Gothic" w:hAnsi="Century Gothic"/>
          <w:b/>
          <w:sz w:val="20"/>
          <w:szCs w:val="20"/>
        </w:rPr>
        <w:t>-7-</w:t>
      </w:r>
      <w:r>
        <w:rPr>
          <w:rFonts w:ascii="Century Gothic" w:hAnsi="Century Gothic"/>
          <w:b/>
          <w:sz w:val="20"/>
          <w:szCs w:val="20"/>
        </w:rPr>
        <w:t>2013</w:t>
      </w:r>
      <w:r w:rsidR="00B50FA5">
        <w:rPr>
          <w:rFonts w:ascii="Century Gothic" w:hAnsi="Century Gothic"/>
          <w:b/>
          <w:sz w:val="20"/>
          <w:szCs w:val="20"/>
        </w:rPr>
        <w:t xml:space="preserve"> e dell’8-10-2013</w:t>
      </w:r>
    </w:p>
    <w:tbl>
      <w:tblPr>
        <w:tblStyle w:val="Grigliatabella"/>
        <w:tblW w:w="8969" w:type="dxa"/>
        <w:tblLayout w:type="fixed"/>
        <w:tblLook w:val="04A0" w:firstRow="1" w:lastRow="0" w:firstColumn="1" w:lastColumn="0" w:noHBand="0" w:noVBand="1"/>
      </w:tblPr>
      <w:tblGrid>
        <w:gridCol w:w="4928"/>
        <w:gridCol w:w="1559"/>
        <w:gridCol w:w="920"/>
        <w:gridCol w:w="781"/>
        <w:gridCol w:w="781"/>
      </w:tblGrid>
      <w:tr w:rsidR="00721FC0" w:rsidRPr="00681585" w:rsidTr="00721FC0">
        <w:trPr>
          <w:trHeight w:val="496"/>
        </w:trPr>
        <w:tc>
          <w:tcPr>
            <w:tcW w:w="49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color w:val="494949"/>
                <w:sz w:val="16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9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1-7-2013</w:t>
            </w:r>
          </w:p>
        </w:tc>
        <w:tc>
          <w:tcPr>
            <w:tcW w:w="78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876DF4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8-</w:t>
            </w:r>
            <w:r w:rsidR="00C56884" w:rsidRPr="00876DF4">
              <w:rPr>
                <w:rFonts w:ascii="Century Gothic" w:hAnsi="Century Gothic"/>
                <w:b/>
                <w:sz w:val="16"/>
                <w:szCs w:val="20"/>
              </w:rPr>
              <w:t>10-2013</w:t>
            </w:r>
          </w:p>
        </w:tc>
        <w:tc>
          <w:tcPr>
            <w:tcW w:w="78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Differenza %</w:t>
            </w:r>
          </w:p>
        </w:tc>
      </w:tr>
      <w:tr w:rsidR="00721FC0" w:rsidRPr="00681585" w:rsidTr="00721FC0">
        <w:trPr>
          <w:trHeight w:val="496"/>
        </w:trPr>
        <w:tc>
          <w:tcPr>
            <w:tcW w:w="49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color w:val="494949"/>
                <w:sz w:val="16"/>
                <w:szCs w:val="20"/>
              </w:rPr>
            </w:pPr>
            <w:r w:rsidRPr="00681585">
              <w:rPr>
                <w:rFonts w:ascii="Century Gothic" w:eastAsia="Times New Roman" w:hAnsi="Century Gothic" w:cs="Arial"/>
                <w:b/>
                <w:bCs/>
                <w:color w:val="494949"/>
                <w:sz w:val="16"/>
                <w:szCs w:val="20"/>
              </w:rPr>
              <w:t>Banca Popolare dell'Emilia Romagna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 A CONSUMATORI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16"/>
                <w:szCs w:val="20"/>
                <w:shd w:val="clear" w:color="auto" w:fill="FFFFFF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754,75</w:t>
            </w:r>
          </w:p>
        </w:tc>
        <w:tc>
          <w:tcPr>
            <w:tcW w:w="78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16"/>
                <w:szCs w:val="20"/>
                <w:shd w:val="clear" w:color="auto" w:fill="FFFFFF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754,75</w:t>
            </w:r>
          </w:p>
        </w:tc>
        <w:tc>
          <w:tcPr>
            <w:tcW w:w="78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</w:p>
        </w:tc>
      </w:tr>
      <w:tr w:rsidR="00721FC0" w:rsidRPr="00681585" w:rsidTr="00721FC0">
        <w:trPr>
          <w:trHeight w:val="496"/>
        </w:trPr>
        <w:tc>
          <w:tcPr>
            <w:tcW w:w="492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3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617"/>
              <w:gridCol w:w="655"/>
              <w:gridCol w:w="655"/>
              <w:gridCol w:w="1425"/>
            </w:tblGrid>
            <w:tr w:rsidR="00721FC0" w:rsidRPr="00681585">
              <w:tc>
                <w:tcPr>
                  <w:tcW w:w="8620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Banca della Campania S.p.A.</w:t>
                  </w:r>
                </w:p>
              </w:tc>
              <w:tc>
                <w:tcPr>
                  <w:tcW w:w="65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65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color w:val="494949"/>
                <w:sz w:val="16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Cs/>
                <w:color w:val="494949"/>
                <w:sz w:val="12"/>
                <w:szCs w:val="16"/>
                <w:shd w:val="clear" w:color="auto" w:fill="EDEDED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 A CONSUMATORI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  <w:lang w:eastAsia="en-US"/>
              </w:rPr>
            </w:pPr>
            <w:r w:rsidRPr="00681585">
              <w:rPr>
                <w:rFonts w:ascii="Century Gothic" w:hAnsi="Century Gothic" w:cs="Arial"/>
                <w:b/>
                <w:sz w:val="16"/>
                <w:szCs w:val="20"/>
                <w:shd w:val="clear" w:color="auto" w:fill="FFFFFF"/>
              </w:rPr>
              <w:t>689,38</w:t>
            </w:r>
          </w:p>
        </w:tc>
        <w:tc>
          <w:tcPr>
            <w:tcW w:w="78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  <w:lang w:eastAsia="en-US"/>
              </w:rPr>
            </w:pPr>
            <w:r>
              <w:rPr>
                <w:rFonts w:ascii="Century Gothic" w:hAnsi="Century Gothic" w:cs="Arial"/>
                <w:b/>
                <w:sz w:val="16"/>
                <w:szCs w:val="20"/>
                <w:shd w:val="clear" w:color="auto" w:fill="FFFFFF"/>
              </w:rPr>
              <w:t>691,66</w:t>
            </w:r>
          </w:p>
        </w:tc>
        <w:tc>
          <w:tcPr>
            <w:tcW w:w="78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16"/>
                <w:szCs w:val="20"/>
                <w:shd w:val="clear" w:color="auto" w:fill="FFFFFF"/>
              </w:rPr>
            </w:pPr>
            <w:r>
              <w:rPr>
                <w:rFonts w:ascii="Century Gothic" w:hAnsi="Century Gothic" w:cs="Arial"/>
                <w:b/>
                <w:sz w:val="16"/>
                <w:szCs w:val="20"/>
                <w:shd w:val="clear" w:color="auto" w:fill="FFFFFF"/>
              </w:rPr>
              <w:t>+0,33%</w:t>
            </w: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87"/>
              <w:gridCol w:w="720"/>
              <w:gridCol w:w="720"/>
              <w:gridCol w:w="1425"/>
            </w:tblGrid>
            <w:tr w:rsidR="00721FC0" w:rsidRPr="00681585">
              <w:tc>
                <w:tcPr>
                  <w:tcW w:w="8190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Banco di Sardegna S.p.A.</w:t>
                  </w:r>
                </w:p>
              </w:tc>
              <w:tc>
                <w:tcPr>
                  <w:tcW w:w="720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 A CONSUMATORI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621,81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621,81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083"/>
              <w:gridCol w:w="772"/>
              <w:gridCol w:w="772"/>
              <w:gridCol w:w="1425"/>
            </w:tblGrid>
            <w:tr w:rsidR="00721FC0" w:rsidRPr="00681585">
              <w:tc>
                <w:tcPr>
                  <w:tcW w:w="8086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Banca di Sassari S.p.A.</w:t>
                  </w:r>
                </w:p>
              </w:tc>
              <w:tc>
                <w:tcPr>
                  <w:tcW w:w="772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772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 A CONSUMATORI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593,63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633,15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  <w:r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  <w:t>+6,66%</w:t>
            </w: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85"/>
              <w:gridCol w:w="571"/>
              <w:gridCol w:w="571"/>
              <w:gridCol w:w="1425"/>
            </w:tblGrid>
            <w:tr w:rsidR="00721FC0" w:rsidRPr="00681585">
              <w:tc>
                <w:tcPr>
                  <w:tcW w:w="8488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Banca Popolare di Ravenna S.p.A.</w:t>
                  </w:r>
                </w:p>
              </w:tc>
              <w:tc>
                <w:tcPr>
                  <w:tcW w:w="571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571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 A CONSUMATORI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515,72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515,72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613"/>
              <w:gridCol w:w="507"/>
              <w:gridCol w:w="507"/>
              <w:gridCol w:w="1425"/>
            </w:tblGrid>
            <w:tr w:rsidR="00721FC0" w:rsidRPr="00681585">
              <w:tc>
                <w:tcPr>
                  <w:tcW w:w="8616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Banca Popolare del Mezzogiorno S.p.A.</w:t>
                  </w:r>
                </w:p>
              </w:tc>
              <w:tc>
                <w:tcPr>
                  <w:tcW w:w="507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507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CONSUMATORI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467,09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467,09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911"/>
              <w:gridCol w:w="358"/>
              <w:gridCol w:w="358"/>
              <w:gridCol w:w="1425"/>
            </w:tblGrid>
            <w:tr w:rsidR="00721FC0" w:rsidRPr="00681585">
              <w:tc>
                <w:tcPr>
                  <w:tcW w:w="8914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 xml:space="preserve">Banca Popolare di Vicenza </w:t>
                  </w:r>
                </w:p>
              </w:tc>
              <w:tc>
                <w:tcPr>
                  <w:tcW w:w="358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438,70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438,70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883"/>
              <w:gridCol w:w="872"/>
              <w:gridCol w:w="872"/>
              <w:gridCol w:w="1425"/>
            </w:tblGrid>
            <w:tr w:rsidR="00721FC0" w:rsidRPr="00681585">
              <w:tc>
                <w:tcPr>
                  <w:tcW w:w="7886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Banca Nuova S.p.A.</w:t>
                  </w:r>
                </w:p>
              </w:tc>
              <w:tc>
                <w:tcPr>
                  <w:tcW w:w="872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872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420,20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420,20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25"/>
              <w:gridCol w:w="601"/>
              <w:gridCol w:w="601"/>
              <w:gridCol w:w="1425"/>
            </w:tblGrid>
            <w:tr w:rsidR="00721FC0" w:rsidRPr="00681585">
              <w:tc>
                <w:tcPr>
                  <w:tcW w:w="8428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Cassa di Risparmio della Spezia</w:t>
                  </w:r>
                </w:p>
              </w:tc>
              <w:tc>
                <w:tcPr>
                  <w:tcW w:w="601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601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412,56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424,56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  <w:r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  <w:t>+2,91%</w:t>
            </w: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915"/>
              <w:gridCol w:w="356"/>
              <w:gridCol w:w="356"/>
              <w:gridCol w:w="1425"/>
            </w:tblGrid>
            <w:tr w:rsidR="00721FC0" w:rsidRPr="00681585">
              <w:tc>
                <w:tcPr>
                  <w:tcW w:w="8918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 xml:space="preserve">Cassa di </w:t>
                  </w:r>
                  <w:proofErr w:type="spellStart"/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Risp</w:t>
                  </w:r>
                  <w:proofErr w:type="spellEnd"/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. di Parma e Piacenza S.p.A. (</w:t>
                  </w:r>
                  <w:proofErr w:type="spellStart"/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Cariparma</w:t>
                  </w:r>
                  <w:proofErr w:type="spellEnd"/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)</w:t>
                  </w:r>
                </w:p>
              </w:tc>
              <w:tc>
                <w:tcPr>
                  <w:tcW w:w="356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356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412,56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424</w:t>
            </w:r>
            <w:r w:rsidRPr="00681585">
              <w:rPr>
                <w:rFonts w:ascii="Century Gothic" w:hAnsi="Century Gothic"/>
                <w:b/>
                <w:sz w:val="16"/>
                <w:szCs w:val="20"/>
              </w:rPr>
              <w:t>,56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  <w:r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  <w:t>+2,91%</w:t>
            </w: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21"/>
              <w:gridCol w:w="603"/>
              <w:gridCol w:w="603"/>
              <w:gridCol w:w="1425"/>
            </w:tblGrid>
            <w:tr w:rsidR="00721FC0" w:rsidRPr="00681585">
              <w:tc>
                <w:tcPr>
                  <w:tcW w:w="8424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 xml:space="preserve">Banca Popolare </w:t>
                  </w:r>
                  <w:proofErr w:type="spellStart"/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Friuladria</w:t>
                  </w:r>
                  <w:proofErr w:type="spellEnd"/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 xml:space="preserve"> </w:t>
                  </w:r>
                  <w:proofErr w:type="spellStart"/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S.p.A</w:t>
                  </w:r>
                  <w:proofErr w:type="spellEnd"/>
                </w:p>
              </w:tc>
              <w:tc>
                <w:tcPr>
                  <w:tcW w:w="603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603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406,90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418,90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  <w:r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  <w:t>+2,95%</w:t>
            </w: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595"/>
              <w:gridCol w:w="1016"/>
              <w:gridCol w:w="1016"/>
              <w:gridCol w:w="1425"/>
            </w:tblGrid>
            <w:tr w:rsidR="00721FC0" w:rsidRPr="00681585">
              <w:tc>
                <w:tcPr>
                  <w:tcW w:w="7598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Banco Popolare</w:t>
                  </w:r>
                </w:p>
              </w:tc>
              <w:tc>
                <w:tcPr>
                  <w:tcW w:w="1016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400,10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400,10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49"/>
              <w:gridCol w:w="689"/>
              <w:gridCol w:w="689"/>
              <w:gridCol w:w="1425"/>
            </w:tblGrid>
            <w:tr w:rsidR="00721FC0" w:rsidRPr="00681585">
              <w:tc>
                <w:tcPr>
                  <w:tcW w:w="8252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Credito Bergamasco S.p.A.</w:t>
                  </w:r>
                </w:p>
              </w:tc>
              <w:tc>
                <w:tcPr>
                  <w:tcW w:w="689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689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400,10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400,10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875"/>
              <w:gridCol w:w="876"/>
              <w:gridCol w:w="876"/>
              <w:gridCol w:w="1425"/>
            </w:tblGrid>
            <w:tr w:rsidR="00721FC0" w:rsidRPr="00681585">
              <w:tc>
                <w:tcPr>
                  <w:tcW w:w="7878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Banca Cesare Ponti</w:t>
                  </w:r>
                </w:p>
              </w:tc>
              <w:tc>
                <w:tcPr>
                  <w:tcW w:w="876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876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CORRENTE ORDINARIO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  <w:t>385,80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  <w:t>385,80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755"/>
              <w:gridCol w:w="436"/>
              <w:gridCol w:w="436"/>
              <w:gridCol w:w="1425"/>
            </w:tblGrid>
            <w:tr w:rsidR="00721FC0" w:rsidRPr="00681585">
              <w:tc>
                <w:tcPr>
                  <w:tcW w:w="8758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CARIFANO - Cassa di Risparmio di Fano S.p.A.</w:t>
                  </w:r>
                </w:p>
              </w:tc>
              <w:tc>
                <w:tcPr>
                  <w:tcW w:w="436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436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 CONSUMATORI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379,10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379,10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643"/>
              <w:gridCol w:w="992"/>
              <w:gridCol w:w="992"/>
              <w:gridCol w:w="1425"/>
            </w:tblGrid>
            <w:tr w:rsidR="00721FC0" w:rsidRPr="00681585">
              <w:tc>
                <w:tcPr>
                  <w:tcW w:w="7646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Credito Siciliano</w:t>
                  </w:r>
                </w:p>
              </w:tc>
              <w:tc>
                <w:tcPr>
                  <w:tcW w:w="992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 CONSUMATORI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379,10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379,10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859"/>
              <w:gridCol w:w="884"/>
              <w:gridCol w:w="884"/>
              <w:gridCol w:w="1425"/>
            </w:tblGrid>
            <w:tr w:rsidR="00721FC0" w:rsidRPr="00681585">
              <w:tc>
                <w:tcPr>
                  <w:tcW w:w="7862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Credito Valtellinese</w:t>
                  </w:r>
                </w:p>
              </w:tc>
              <w:tc>
                <w:tcPr>
                  <w:tcW w:w="884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884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 CONSUMATORI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379,10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379,10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357"/>
              <w:gridCol w:w="635"/>
              <w:gridCol w:w="635"/>
              <w:gridCol w:w="1425"/>
            </w:tblGrid>
            <w:tr w:rsidR="00721FC0" w:rsidRPr="00681585">
              <w:tc>
                <w:tcPr>
                  <w:tcW w:w="8360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Cassa di Risparmio di Carrara</w:t>
                  </w:r>
                </w:p>
              </w:tc>
              <w:tc>
                <w:tcPr>
                  <w:tcW w:w="63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63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369,80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369,80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943"/>
              <w:gridCol w:w="260"/>
              <w:gridCol w:w="342"/>
              <w:gridCol w:w="1507"/>
            </w:tblGrid>
            <w:tr w:rsidR="00721FC0" w:rsidRPr="00681585">
              <w:tc>
                <w:tcPr>
                  <w:tcW w:w="8946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hAnsi="Century Gothic"/>
                      <w:sz w:val="16"/>
                      <w:szCs w:val="20"/>
                    </w:rPr>
                    <w:br w:type="page"/>
                  </w: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Banca Carige – C. di Risparmio di Genova e Imperia S.p.A.</w:t>
                  </w:r>
                </w:p>
              </w:tc>
              <w:tc>
                <w:tcPr>
                  <w:tcW w:w="260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342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507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  <w:t>365,80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  <w:t>365,80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15"/>
              <w:gridCol w:w="606"/>
              <w:gridCol w:w="606"/>
              <w:gridCol w:w="1425"/>
            </w:tblGrid>
            <w:tr w:rsidR="00721FC0" w:rsidRPr="00681585">
              <w:tc>
                <w:tcPr>
                  <w:tcW w:w="8418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 xml:space="preserve">Banca del Monte di Lucca </w:t>
                  </w:r>
                  <w:proofErr w:type="spellStart"/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S.p.A</w:t>
                  </w:r>
                  <w:proofErr w:type="spellEnd"/>
                </w:p>
              </w:tc>
              <w:tc>
                <w:tcPr>
                  <w:tcW w:w="606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606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CORRENTE ORDINARIO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  <w:t>365,80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  <w:t>365,80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47"/>
              <w:gridCol w:w="540"/>
              <w:gridCol w:w="540"/>
              <w:gridCol w:w="1425"/>
            </w:tblGrid>
            <w:tr w:rsidR="00721FC0" w:rsidRPr="00681585">
              <w:tc>
                <w:tcPr>
                  <w:tcW w:w="8550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Cassa di Risparmio di Savona S.p.A.</w:t>
                  </w:r>
                </w:p>
              </w:tc>
              <w:tc>
                <w:tcPr>
                  <w:tcW w:w="540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540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365,80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365,80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87"/>
              <w:gridCol w:w="720"/>
              <w:gridCol w:w="720"/>
              <w:gridCol w:w="1425"/>
            </w:tblGrid>
            <w:tr w:rsidR="00721FC0" w:rsidRPr="00681585">
              <w:tc>
                <w:tcPr>
                  <w:tcW w:w="8190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 xml:space="preserve">Banca delle Marche </w:t>
                  </w:r>
                  <w:proofErr w:type="spellStart"/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S.p.A</w:t>
                  </w:r>
                  <w:proofErr w:type="spellEnd"/>
                </w:p>
              </w:tc>
              <w:tc>
                <w:tcPr>
                  <w:tcW w:w="720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  <w:t>354,60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  <w:t>354,60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F2F2F2" w:themeFill="background1" w:themeFillShade="F2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65"/>
              <w:gridCol w:w="731"/>
              <w:gridCol w:w="731"/>
              <w:gridCol w:w="1425"/>
            </w:tblGrid>
            <w:tr w:rsidR="00721FC0" w:rsidRPr="00681585">
              <w:tc>
                <w:tcPr>
                  <w:tcW w:w="8168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F2F2F2" w:themeFill="background1" w:themeFillShade="F2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Banca Popolare Pugliese</w:t>
                  </w:r>
                </w:p>
              </w:tc>
              <w:tc>
                <w:tcPr>
                  <w:tcW w:w="731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F2F2F2" w:themeFill="background1" w:themeFillShade="F2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731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F2F2F2" w:themeFill="background1" w:themeFillShade="F2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F2F2F2" w:themeFill="background1" w:themeFillShade="F2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345,45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345,45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563"/>
              <w:gridCol w:w="1032"/>
              <w:gridCol w:w="1032"/>
              <w:gridCol w:w="1425"/>
            </w:tblGrid>
            <w:tr w:rsidR="00721FC0" w:rsidRPr="00681585">
              <w:tc>
                <w:tcPr>
                  <w:tcW w:w="7566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Unicredit S.p.A.</w:t>
                  </w:r>
                </w:p>
              </w:tc>
              <w:tc>
                <w:tcPr>
                  <w:tcW w:w="1032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032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B9D1E9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FFFFFF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hAnsi="Century Gothic"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DI CORRISPONDENZA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337,18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337,18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603"/>
              <w:gridCol w:w="512"/>
              <w:gridCol w:w="512"/>
              <w:gridCol w:w="1425"/>
            </w:tblGrid>
            <w:tr w:rsidR="00721FC0" w:rsidRPr="00681585">
              <w:tc>
                <w:tcPr>
                  <w:tcW w:w="8606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CARILO - Cassa di Risparmio di Loreto</w:t>
                  </w:r>
                </w:p>
              </w:tc>
              <w:tc>
                <w:tcPr>
                  <w:tcW w:w="512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512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326,90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326,90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color w:val="494949"/>
                <w:sz w:val="16"/>
                <w:szCs w:val="20"/>
              </w:rPr>
            </w:pPr>
          </w:p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color w:val="494949"/>
                <w:sz w:val="16"/>
                <w:szCs w:val="20"/>
              </w:rPr>
            </w:pPr>
            <w:r w:rsidRPr="00681585">
              <w:rPr>
                <w:rFonts w:ascii="Century Gothic" w:eastAsia="Times New Roman" w:hAnsi="Century Gothic" w:cs="Arial"/>
                <w:b/>
                <w:bCs/>
                <w:color w:val="494949"/>
                <w:sz w:val="16"/>
                <w:szCs w:val="20"/>
              </w:rPr>
              <w:t xml:space="preserve">   Banca Popolare di Puglia e Basilicata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314,64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  <w:lang w:eastAsia="en-US"/>
              </w:rPr>
            </w:pPr>
            <w:r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  <w:lang w:eastAsia="en-US"/>
              </w:rPr>
              <w:t>NT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63"/>
              <w:gridCol w:w="582"/>
              <w:gridCol w:w="582"/>
              <w:gridCol w:w="1425"/>
            </w:tblGrid>
            <w:tr w:rsidR="00721FC0" w:rsidRPr="00681585">
              <w:tc>
                <w:tcPr>
                  <w:tcW w:w="8466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Credem – Credito Emiliano S.p.A.</w:t>
                  </w:r>
                </w:p>
              </w:tc>
              <w:tc>
                <w:tcPr>
                  <w:tcW w:w="582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582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 GENERICO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309,67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309,67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763"/>
              <w:gridCol w:w="932"/>
              <w:gridCol w:w="932"/>
              <w:gridCol w:w="1425"/>
            </w:tblGrid>
            <w:tr w:rsidR="00721FC0" w:rsidRPr="00681585">
              <w:tc>
                <w:tcPr>
                  <w:tcW w:w="7766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Banca di Legnano</w:t>
                  </w:r>
                </w:p>
              </w:tc>
              <w:tc>
                <w:tcPr>
                  <w:tcW w:w="932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932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309,02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>
              <w:rPr>
                <w:rFonts w:ascii="Century Gothic" w:hAnsi="Century Gothic"/>
                <w:b/>
                <w:sz w:val="16"/>
                <w:szCs w:val="20"/>
                <w:lang w:eastAsia="en-US"/>
              </w:rPr>
              <w:t>NT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55"/>
              <w:gridCol w:w="586"/>
              <w:gridCol w:w="586"/>
              <w:gridCol w:w="1425"/>
            </w:tblGrid>
            <w:tr w:rsidR="00721FC0" w:rsidRPr="00681585">
              <w:tc>
                <w:tcPr>
                  <w:tcW w:w="8458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Banca Popolare di Spoleto S.p.A.</w:t>
                  </w:r>
                </w:p>
              </w:tc>
              <w:tc>
                <w:tcPr>
                  <w:tcW w:w="586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586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CORR.NZA ORDINARIO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302,16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302,16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95"/>
              <w:gridCol w:w="516"/>
              <w:gridCol w:w="516"/>
              <w:gridCol w:w="1425"/>
            </w:tblGrid>
            <w:tr w:rsidR="00721FC0" w:rsidRPr="00681585">
              <w:tc>
                <w:tcPr>
                  <w:tcW w:w="8598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 xml:space="preserve">Banca Monte dei Paschi di Siena </w:t>
                  </w:r>
                  <w:proofErr w:type="spellStart"/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S.p.A</w:t>
                  </w:r>
                  <w:proofErr w:type="spellEnd"/>
                </w:p>
              </w:tc>
              <w:tc>
                <w:tcPr>
                  <w:tcW w:w="516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516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 CONSUMATORI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291,30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293,4</w:t>
            </w:r>
            <w:r w:rsidRPr="00681585">
              <w:rPr>
                <w:rFonts w:ascii="Century Gothic" w:hAnsi="Century Gothic"/>
                <w:b/>
                <w:sz w:val="16"/>
                <w:szCs w:val="20"/>
              </w:rPr>
              <w:t>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  <w:r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  <w:t>+0,72%</w:t>
            </w: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25"/>
              <w:gridCol w:w="701"/>
              <w:gridCol w:w="701"/>
              <w:gridCol w:w="1425"/>
            </w:tblGrid>
            <w:tr w:rsidR="00721FC0" w:rsidRPr="00681585">
              <w:trPr>
                <w:trHeight w:val="19"/>
              </w:trPr>
              <w:tc>
                <w:tcPr>
                  <w:tcW w:w="8228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Banca del Piemonte S.p.A.</w:t>
                  </w:r>
                </w:p>
              </w:tc>
              <w:tc>
                <w:tcPr>
                  <w:tcW w:w="701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701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 AL CONSUMO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  <w:t>288,16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  <w:t>288,16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779"/>
              <w:gridCol w:w="924"/>
              <w:gridCol w:w="924"/>
              <w:gridCol w:w="1425"/>
            </w:tblGrid>
            <w:tr w:rsidR="00721FC0" w:rsidRPr="00681585">
              <w:tc>
                <w:tcPr>
                  <w:tcW w:w="7782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Banca Sella S.p.A.</w:t>
                  </w:r>
                </w:p>
              </w:tc>
              <w:tc>
                <w:tcPr>
                  <w:tcW w:w="924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278,60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278,60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745"/>
              <w:gridCol w:w="941"/>
              <w:gridCol w:w="941"/>
              <w:gridCol w:w="1425"/>
            </w:tblGrid>
            <w:tr w:rsidR="00721FC0" w:rsidRPr="00681585">
              <w:tc>
                <w:tcPr>
                  <w:tcW w:w="7748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Banca CR Firenze</w:t>
                  </w:r>
                </w:p>
              </w:tc>
              <w:tc>
                <w:tcPr>
                  <w:tcW w:w="941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941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  <w:t>273,20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  <w:t>273,20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905"/>
              <w:gridCol w:w="861"/>
              <w:gridCol w:w="861"/>
              <w:gridCol w:w="1425"/>
            </w:tblGrid>
            <w:tr w:rsidR="00721FC0" w:rsidRPr="00681585">
              <w:tc>
                <w:tcPr>
                  <w:tcW w:w="7908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Banca dell’Adriatico</w:t>
                  </w:r>
                </w:p>
              </w:tc>
              <w:tc>
                <w:tcPr>
                  <w:tcW w:w="861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861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  <w:t>273,20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  <w:t>273,20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077"/>
              <w:gridCol w:w="775"/>
              <w:gridCol w:w="775"/>
              <w:gridCol w:w="1425"/>
            </w:tblGrid>
            <w:tr w:rsidR="00721FC0" w:rsidRPr="00681585">
              <w:tc>
                <w:tcPr>
                  <w:tcW w:w="8080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Banca di Credito Sardo</w:t>
                  </w:r>
                </w:p>
              </w:tc>
              <w:tc>
                <w:tcPr>
                  <w:tcW w:w="77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77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273,20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273,20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21"/>
              <w:gridCol w:w="703"/>
              <w:gridCol w:w="703"/>
              <w:gridCol w:w="1425"/>
            </w:tblGrid>
            <w:tr w:rsidR="00721FC0" w:rsidRPr="00681585">
              <w:tc>
                <w:tcPr>
                  <w:tcW w:w="8224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Banca di Trento e Bolzano</w:t>
                  </w:r>
                </w:p>
              </w:tc>
              <w:tc>
                <w:tcPr>
                  <w:tcW w:w="703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703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273,20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273,20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033"/>
              <w:gridCol w:w="797"/>
              <w:gridCol w:w="797"/>
              <w:gridCol w:w="1425"/>
            </w:tblGrid>
            <w:tr w:rsidR="00721FC0" w:rsidRPr="00681585">
              <w:tc>
                <w:tcPr>
                  <w:tcW w:w="8036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Banco di Napoli S.p.A.</w:t>
                  </w:r>
                </w:p>
              </w:tc>
              <w:tc>
                <w:tcPr>
                  <w:tcW w:w="797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797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273,20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273,20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01"/>
              <w:gridCol w:w="413"/>
              <w:gridCol w:w="413"/>
              <w:gridCol w:w="1425"/>
            </w:tblGrid>
            <w:tr w:rsidR="00721FC0" w:rsidRPr="00681585">
              <w:tc>
                <w:tcPr>
                  <w:tcW w:w="8804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Cassa dei risparmi di Forlì e della Romagna S.p.A.</w:t>
                  </w:r>
                </w:p>
              </w:tc>
              <w:tc>
                <w:tcPr>
                  <w:tcW w:w="413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413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273,20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273,20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795"/>
              <w:gridCol w:w="416"/>
              <w:gridCol w:w="416"/>
              <w:gridCol w:w="1425"/>
            </w:tblGrid>
            <w:tr w:rsidR="00721FC0" w:rsidRPr="00681585">
              <w:tc>
                <w:tcPr>
                  <w:tcW w:w="8798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 xml:space="preserve">Cassa di Risparmio del Friuli Venezia Giulia </w:t>
                  </w:r>
                  <w:proofErr w:type="spellStart"/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S.p.A</w:t>
                  </w:r>
                  <w:proofErr w:type="spellEnd"/>
                </w:p>
              </w:tc>
              <w:tc>
                <w:tcPr>
                  <w:tcW w:w="416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416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273,20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273,20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63"/>
              <w:gridCol w:w="532"/>
              <w:gridCol w:w="532"/>
              <w:gridCol w:w="1425"/>
            </w:tblGrid>
            <w:tr w:rsidR="00721FC0" w:rsidRPr="00681585">
              <w:tc>
                <w:tcPr>
                  <w:tcW w:w="8566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Cassa di Risparmio del Veneto S.p.A.</w:t>
                  </w:r>
                </w:p>
              </w:tc>
              <w:tc>
                <w:tcPr>
                  <w:tcW w:w="532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532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273,20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273,20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25"/>
              <w:gridCol w:w="401"/>
              <w:gridCol w:w="401"/>
              <w:gridCol w:w="1425"/>
            </w:tblGrid>
            <w:tr w:rsidR="00721FC0" w:rsidRPr="00681585">
              <w:tc>
                <w:tcPr>
                  <w:tcW w:w="8828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Cassa di Risparmio della Provincia di Viterbo S.p.A.</w:t>
                  </w:r>
                </w:p>
              </w:tc>
              <w:tc>
                <w:tcPr>
                  <w:tcW w:w="401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401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273,20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273,20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675"/>
              <w:gridCol w:w="476"/>
              <w:gridCol w:w="476"/>
              <w:gridCol w:w="1425"/>
            </w:tblGrid>
            <w:tr w:rsidR="00721FC0" w:rsidRPr="00681585">
              <w:tc>
                <w:tcPr>
                  <w:tcW w:w="8678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Cassa di Risparmio di Civitavecchia S.p.A.</w:t>
                  </w:r>
                </w:p>
              </w:tc>
              <w:tc>
                <w:tcPr>
                  <w:tcW w:w="476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476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273,20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273,20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53"/>
              <w:gridCol w:w="387"/>
              <w:gridCol w:w="387"/>
              <w:gridCol w:w="1425"/>
            </w:tblGrid>
            <w:tr w:rsidR="00721FC0" w:rsidRPr="00681585">
              <w:tc>
                <w:tcPr>
                  <w:tcW w:w="8856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 xml:space="preserve">Cassa di Risparmio di Pistoia e della </w:t>
                  </w:r>
                  <w:proofErr w:type="spellStart"/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Lucchesia</w:t>
                  </w:r>
                  <w:proofErr w:type="spellEnd"/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 xml:space="preserve"> S.p.A.</w:t>
                  </w:r>
                </w:p>
              </w:tc>
              <w:tc>
                <w:tcPr>
                  <w:tcW w:w="387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387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273,20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273,20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69"/>
              <w:gridCol w:w="579"/>
              <w:gridCol w:w="579"/>
              <w:gridCol w:w="1425"/>
            </w:tblGrid>
            <w:tr w:rsidR="00721FC0" w:rsidRPr="00681585">
              <w:tc>
                <w:tcPr>
                  <w:tcW w:w="8472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Cassa di Risparmio di Rieti S.p.A.</w:t>
                  </w:r>
                </w:p>
              </w:tc>
              <w:tc>
                <w:tcPr>
                  <w:tcW w:w="579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579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ORDIANRIO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273,20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273,20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55"/>
              <w:gridCol w:w="536"/>
              <w:gridCol w:w="536"/>
              <w:gridCol w:w="1425"/>
            </w:tblGrid>
            <w:tr w:rsidR="00721FC0" w:rsidRPr="00681585">
              <w:tc>
                <w:tcPr>
                  <w:tcW w:w="8558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Cassa di Risparmio di Venezia S.p.A.</w:t>
                  </w:r>
                </w:p>
              </w:tc>
              <w:tc>
                <w:tcPr>
                  <w:tcW w:w="536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536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273,20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273,20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69"/>
              <w:gridCol w:w="529"/>
              <w:gridCol w:w="529"/>
              <w:gridCol w:w="1425"/>
            </w:tblGrid>
            <w:tr w:rsidR="00721FC0" w:rsidRPr="00681585">
              <w:tc>
                <w:tcPr>
                  <w:tcW w:w="8572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Cassa di Risparmio in Bologna S.p.A.</w:t>
                  </w:r>
                </w:p>
              </w:tc>
              <w:tc>
                <w:tcPr>
                  <w:tcW w:w="529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529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ORDIANRIO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273,20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273,20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07"/>
              <w:gridCol w:w="610"/>
              <w:gridCol w:w="610"/>
              <w:gridCol w:w="1425"/>
            </w:tblGrid>
            <w:tr w:rsidR="00721FC0" w:rsidRPr="00681585">
              <w:tc>
                <w:tcPr>
                  <w:tcW w:w="8410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Casse di Risparmio dell’Umbria</w:t>
                  </w:r>
                </w:p>
              </w:tc>
              <w:tc>
                <w:tcPr>
                  <w:tcW w:w="610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610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273,20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273,20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981"/>
              <w:gridCol w:w="823"/>
              <w:gridCol w:w="823"/>
              <w:gridCol w:w="1425"/>
            </w:tblGrid>
            <w:tr w:rsidR="00721FC0" w:rsidRPr="00681585">
              <w:tc>
                <w:tcPr>
                  <w:tcW w:w="7984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 xml:space="preserve">Intesa Sanpaolo </w:t>
                  </w:r>
                  <w:proofErr w:type="spellStart"/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SpA</w:t>
                  </w:r>
                  <w:proofErr w:type="spellEnd"/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.</w:t>
                  </w:r>
                </w:p>
              </w:tc>
              <w:tc>
                <w:tcPr>
                  <w:tcW w:w="823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823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273,20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273,20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87"/>
              <w:gridCol w:w="720"/>
              <w:gridCol w:w="720"/>
              <w:gridCol w:w="1425"/>
            </w:tblGrid>
            <w:tr w:rsidR="00721FC0" w:rsidRPr="00681585">
              <w:tc>
                <w:tcPr>
                  <w:tcW w:w="8190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Banca Popolare di Milano</w:t>
                  </w:r>
                </w:p>
              </w:tc>
              <w:tc>
                <w:tcPr>
                  <w:tcW w:w="720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272,66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286,21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  <w:r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  <w:t>+4,97%</w:t>
            </w: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17"/>
              <w:gridCol w:w="705"/>
              <w:gridCol w:w="705"/>
              <w:gridCol w:w="1425"/>
            </w:tblGrid>
            <w:tr w:rsidR="00721FC0" w:rsidRPr="00681585">
              <w:tc>
                <w:tcPr>
                  <w:tcW w:w="8220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Banca di Credito Popolare</w:t>
                  </w:r>
                </w:p>
              </w:tc>
              <w:tc>
                <w:tcPr>
                  <w:tcW w:w="70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70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 CONSUMATORI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  <w:t>271,35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  <w:t>271,35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79"/>
              <w:gridCol w:w="574"/>
              <w:gridCol w:w="574"/>
              <w:gridCol w:w="1425"/>
            </w:tblGrid>
            <w:tr w:rsidR="00721FC0" w:rsidRPr="00681585">
              <w:tc>
                <w:tcPr>
                  <w:tcW w:w="8482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Banca Popolare di Mantova S.p.A.</w:t>
                  </w:r>
                </w:p>
              </w:tc>
              <w:tc>
                <w:tcPr>
                  <w:tcW w:w="574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574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265,76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279,81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+5,29%</w:t>
            </w: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965"/>
              <w:gridCol w:w="331"/>
              <w:gridCol w:w="331"/>
              <w:gridCol w:w="1425"/>
            </w:tblGrid>
            <w:tr w:rsidR="00721FC0" w:rsidRPr="00681585">
              <w:tc>
                <w:tcPr>
                  <w:tcW w:w="8968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 xml:space="preserve">CARICHIETI – </w:t>
                  </w:r>
                  <w:proofErr w:type="spellStart"/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C.di</w:t>
                  </w:r>
                  <w:proofErr w:type="spellEnd"/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 xml:space="preserve"> Risparmio Provincia di Chieti S.p.A.</w:t>
                  </w:r>
                </w:p>
              </w:tc>
              <w:tc>
                <w:tcPr>
                  <w:tcW w:w="331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264,75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>
              <w:rPr>
                <w:rFonts w:ascii="Century Gothic" w:hAnsi="Century Gothic"/>
                <w:b/>
                <w:sz w:val="16"/>
                <w:szCs w:val="20"/>
                <w:lang w:eastAsia="en-US"/>
              </w:rPr>
              <w:t>NT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829"/>
              <w:gridCol w:w="899"/>
              <w:gridCol w:w="899"/>
              <w:gridCol w:w="1425"/>
            </w:tblGrid>
            <w:tr w:rsidR="00721FC0" w:rsidRPr="00681585">
              <w:tc>
                <w:tcPr>
                  <w:tcW w:w="7832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proofErr w:type="spellStart"/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Bcc</w:t>
                  </w:r>
                  <w:proofErr w:type="spellEnd"/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 xml:space="preserve"> di Sarsina </w:t>
                  </w:r>
                  <w:proofErr w:type="spellStart"/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Scrl</w:t>
                  </w:r>
                  <w:proofErr w:type="spellEnd"/>
                </w:p>
              </w:tc>
              <w:tc>
                <w:tcPr>
                  <w:tcW w:w="899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899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STANDARD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261,40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261,40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927"/>
              <w:gridCol w:w="850"/>
              <w:gridCol w:w="850"/>
              <w:gridCol w:w="1425"/>
            </w:tblGrid>
            <w:tr w:rsidR="00721FC0" w:rsidRPr="00681585">
              <w:tc>
                <w:tcPr>
                  <w:tcW w:w="7930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Banca Carime S.p.A.</w:t>
                  </w:r>
                </w:p>
              </w:tc>
              <w:tc>
                <w:tcPr>
                  <w:tcW w:w="850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 DI GRUPPO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  <w:t>250,22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  <w:t>253,18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</w:pPr>
            <w:r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  <w:t>+1,18%</w:t>
            </w: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725"/>
              <w:gridCol w:w="451"/>
              <w:gridCol w:w="451"/>
              <w:gridCol w:w="1425"/>
            </w:tblGrid>
            <w:tr w:rsidR="00721FC0" w:rsidRPr="00681585">
              <w:tc>
                <w:tcPr>
                  <w:tcW w:w="8728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 xml:space="preserve">Banca Popolare Commercio e Industria </w:t>
                  </w:r>
                  <w:proofErr w:type="spellStart"/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S.p.A</w:t>
                  </w:r>
                  <w:proofErr w:type="spellEnd"/>
                </w:p>
              </w:tc>
              <w:tc>
                <w:tcPr>
                  <w:tcW w:w="451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451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 DI GRUPPO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250,22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253,18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  <w:t>+1,18%</w:t>
            </w: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39"/>
              <w:gridCol w:w="594"/>
              <w:gridCol w:w="594"/>
              <w:gridCol w:w="1425"/>
            </w:tblGrid>
            <w:tr w:rsidR="00721FC0" w:rsidRPr="00681585">
              <w:tc>
                <w:tcPr>
                  <w:tcW w:w="8442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 xml:space="preserve">Banca Popolare di Ancona </w:t>
                  </w:r>
                  <w:proofErr w:type="spellStart"/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S.p.A</w:t>
                  </w:r>
                  <w:proofErr w:type="spellEnd"/>
                </w:p>
              </w:tc>
              <w:tc>
                <w:tcPr>
                  <w:tcW w:w="594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594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 DI GRUPPO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250,22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253,18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  <w:t>+1,18%</w:t>
            </w: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35"/>
              <w:gridCol w:w="596"/>
              <w:gridCol w:w="596"/>
              <w:gridCol w:w="1425"/>
            </w:tblGrid>
            <w:tr w:rsidR="00721FC0" w:rsidRPr="00681585">
              <w:tc>
                <w:tcPr>
                  <w:tcW w:w="8438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Banca Regionale Europea S.p.A.</w:t>
                  </w:r>
                </w:p>
              </w:tc>
              <w:tc>
                <w:tcPr>
                  <w:tcW w:w="596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596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 DI GRUPPO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250,22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253,18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  <w:t>+1,18%</w:t>
            </w: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093"/>
              <w:gridCol w:w="767"/>
              <w:gridCol w:w="767"/>
              <w:gridCol w:w="1425"/>
            </w:tblGrid>
            <w:tr w:rsidR="00721FC0" w:rsidRPr="00681585">
              <w:tc>
                <w:tcPr>
                  <w:tcW w:w="8096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Banco di Brescia S.p.A.</w:t>
                  </w:r>
                </w:p>
              </w:tc>
              <w:tc>
                <w:tcPr>
                  <w:tcW w:w="767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767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color w:val="494949"/>
                      <w:sz w:val="16"/>
                      <w:szCs w:val="20"/>
                      <w:lang w:eastAsia="it-IT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 DI GRUPPO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250,22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253,18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 w:cs="Arial"/>
                <w:b/>
                <w:color w:val="494949"/>
                <w:sz w:val="16"/>
                <w:szCs w:val="20"/>
                <w:shd w:val="clear" w:color="auto" w:fill="FFFFFF"/>
              </w:rPr>
              <w:t>+1,18%</w:t>
            </w: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1052" w:type="dxa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shd w:val="clear" w:color="auto" w:fill="EEEEEE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77"/>
              <w:gridCol w:w="575"/>
              <w:gridCol w:w="575"/>
              <w:gridCol w:w="1425"/>
            </w:tblGrid>
            <w:tr w:rsidR="00721FC0" w:rsidRPr="00681585">
              <w:tc>
                <w:tcPr>
                  <w:tcW w:w="8480" w:type="dxa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</w:pPr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 xml:space="preserve">Banca Nazionale del Lavoro </w:t>
                  </w:r>
                  <w:proofErr w:type="spellStart"/>
                  <w:r w:rsidRPr="00681585">
                    <w:rPr>
                      <w:rFonts w:ascii="Century Gothic" w:eastAsia="Times New Roman" w:hAnsi="Century Gothic" w:cs="Arial"/>
                      <w:b/>
                      <w:bCs/>
                      <w:color w:val="494949"/>
                      <w:sz w:val="16"/>
                      <w:szCs w:val="20"/>
                      <w:lang w:eastAsia="it-IT"/>
                    </w:rPr>
                    <w:t>S.p.A</w:t>
                  </w:r>
                  <w:proofErr w:type="spellEnd"/>
                </w:p>
              </w:tc>
              <w:tc>
                <w:tcPr>
                  <w:tcW w:w="57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57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nil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  <w:tc>
                <w:tcPr>
                  <w:tcW w:w="1425" w:type="dxa"/>
                  <w:tcBorders>
                    <w:top w:val="single" w:sz="6" w:space="0" w:color="CCCCCC"/>
                    <w:left w:val="nil"/>
                    <w:bottom w:val="single" w:sz="6" w:space="0" w:color="CCCCCC"/>
                    <w:right w:val="single" w:sz="6" w:space="0" w:color="CCCCCC"/>
                  </w:tcBorders>
                  <w:shd w:val="clear" w:color="auto" w:fill="D9E0EA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721FC0" w:rsidRPr="00681585" w:rsidRDefault="00721FC0" w:rsidP="00721FC0">
                  <w:pPr>
                    <w:spacing w:after="0" w:line="240" w:lineRule="auto"/>
                    <w:rPr>
                      <w:rFonts w:cs="Times New Roman"/>
                      <w:sz w:val="16"/>
                    </w:rPr>
                  </w:pPr>
                </w:p>
              </w:tc>
            </w:tr>
          </w:tbl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Times New Roman"/>
                <w:vanish/>
                <w:sz w:val="16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  <w:lang w:eastAsia="en-US"/>
              </w:rPr>
            </w:pPr>
            <w:r w:rsidRPr="00C34FF1">
              <w:rPr>
                <w:rFonts w:ascii="Century Gothic" w:hAnsi="Century Gothic"/>
                <w:sz w:val="12"/>
                <w:szCs w:val="16"/>
              </w:rPr>
              <w:t>CONTO ORDINARIO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238,35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  <w:lang w:eastAsia="en-US"/>
              </w:rPr>
            </w:pPr>
            <w:r w:rsidRPr="00681585">
              <w:rPr>
                <w:rFonts w:ascii="Century Gothic" w:hAnsi="Century Gothic"/>
                <w:b/>
                <w:sz w:val="16"/>
                <w:szCs w:val="20"/>
              </w:rPr>
              <w:t>238,35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color w:val="494949"/>
                <w:sz w:val="16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bCs/>
                <w:color w:val="494949"/>
                <w:sz w:val="16"/>
                <w:szCs w:val="20"/>
              </w:rPr>
              <w:t>ISC MEDIO del 1° luglio 2013 (59 banche)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342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Pr="00681585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</w:p>
        </w:tc>
      </w:tr>
      <w:tr w:rsidR="00721FC0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Default="00721FC0" w:rsidP="00721FC0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color w:val="494949"/>
                <w:sz w:val="16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bCs/>
                <w:color w:val="494949"/>
                <w:sz w:val="16"/>
                <w:szCs w:val="20"/>
              </w:rPr>
              <w:t>ISC MEDIO dell’ 8 ottobre 2013 (56 banche)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21FC0" w:rsidRPr="00C34FF1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347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C0" w:rsidRDefault="00721FC0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</w:p>
        </w:tc>
      </w:tr>
      <w:tr w:rsidR="00876DF4" w:rsidRPr="00681585" w:rsidTr="00721FC0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DF4" w:rsidRDefault="00876DF4" w:rsidP="00721FC0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color w:val="494949"/>
                <w:sz w:val="16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bCs/>
                <w:color w:val="494949"/>
                <w:sz w:val="16"/>
                <w:szCs w:val="20"/>
              </w:rPr>
              <w:t>AUMENTO PERCENTUALE MEDIO (luglio-ottobre)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76DF4" w:rsidRPr="00C34FF1" w:rsidRDefault="00876DF4" w:rsidP="00721FC0">
            <w:pPr>
              <w:spacing w:after="0" w:line="240" w:lineRule="auto"/>
              <w:jc w:val="center"/>
              <w:rPr>
                <w:rFonts w:ascii="Century Gothic" w:hAnsi="Century Gothic"/>
                <w:sz w:val="12"/>
                <w:szCs w:val="16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DF4" w:rsidRDefault="00876DF4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DF4" w:rsidRDefault="00876DF4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DF4" w:rsidRDefault="00CC2EF5" w:rsidP="00721FC0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20"/>
              </w:rPr>
            </w:pPr>
            <w:r>
              <w:rPr>
                <w:rFonts w:ascii="Century Gothic" w:hAnsi="Century Gothic"/>
                <w:b/>
                <w:sz w:val="16"/>
                <w:szCs w:val="20"/>
              </w:rPr>
              <w:t>2,51%</w:t>
            </w:r>
          </w:p>
        </w:tc>
      </w:tr>
    </w:tbl>
    <w:p w:rsidR="00681585" w:rsidRDefault="00681585" w:rsidP="00681585">
      <w:pPr>
        <w:rPr>
          <w:rFonts w:ascii="Century Gothic" w:hAnsi="Century Gothic"/>
          <w:sz w:val="20"/>
          <w:szCs w:val="20"/>
        </w:rPr>
      </w:pPr>
    </w:p>
    <w:p w:rsidR="00C200C3" w:rsidRDefault="00C200C3"/>
    <w:sectPr w:rsidR="00C200C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751984"/>
    <w:multiLevelType w:val="hybridMultilevel"/>
    <w:tmpl w:val="10E0E804"/>
    <w:lvl w:ilvl="0" w:tplc="0F324F8A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9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585"/>
    <w:rsid w:val="00021BC4"/>
    <w:rsid w:val="00035B39"/>
    <w:rsid w:val="000438C0"/>
    <w:rsid w:val="0004682E"/>
    <w:rsid w:val="00077D31"/>
    <w:rsid w:val="000A1562"/>
    <w:rsid w:val="000A70E8"/>
    <w:rsid w:val="000B702F"/>
    <w:rsid w:val="00130235"/>
    <w:rsid w:val="001A3C40"/>
    <w:rsid w:val="002B052D"/>
    <w:rsid w:val="002E4C34"/>
    <w:rsid w:val="002F11C7"/>
    <w:rsid w:val="003154C6"/>
    <w:rsid w:val="00370059"/>
    <w:rsid w:val="003C1BB6"/>
    <w:rsid w:val="003E6422"/>
    <w:rsid w:val="003F54C6"/>
    <w:rsid w:val="00424BEE"/>
    <w:rsid w:val="004F322C"/>
    <w:rsid w:val="00505AEE"/>
    <w:rsid w:val="005E7F8F"/>
    <w:rsid w:val="005F3BF0"/>
    <w:rsid w:val="00617410"/>
    <w:rsid w:val="00632BCB"/>
    <w:rsid w:val="00681585"/>
    <w:rsid w:val="006A11E8"/>
    <w:rsid w:val="00721FC0"/>
    <w:rsid w:val="007339EC"/>
    <w:rsid w:val="00754201"/>
    <w:rsid w:val="00773794"/>
    <w:rsid w:val="00852B4C"/>
    <w:rsid w:val="00873879"/>
    <w:rsid w:val="00876DF4"/>
    <w:rsid w:val="00885F61"/>
    <w:rsid w:val="0089606F"/>
    <w:rsid w:val="008D1060"/>
    <w:rsid w:val="008D4321"/>
    <w:rsid w:val="0094402A"/>
    <w:rsid w:val="00991E54"/>
    <w:rsid w:val="009B4EA1"/>
    <w:rsid w:val="00A3287C"/>
    <w:rsid w:val="00A42182"/>
    <w:rsid w:val="00B35AE5"/>
    <w:rsid w:val="00B50FA5"/>
    <w:rsid w:val="00B90F78"/>
    <w:rsid w:val="00C200C3"/>
    <w:rsid w:val="00C34FF1"/>
    <w:rsid w:val="00C55771"/>
    <w:rsid w:val="00C56840"/>
    <w:rsid w:val="00C56884"/>
    <w:rsid w:val="00C76E16"/>
    <w:rsid w:val="00CC2EF5"/>
    <w:rsid w:val="00D07FAE"/>
    <w:rsid w:val="00D136AC"/>
    <w:rsid w:val="00D709E1"/>
    <w:rsid w:val="00DB2C34"/>
    <w:rsid w:val="00DB5BBF"/>
    <w:rsid w:val="00DF57B1"/>
    <w:rsid w:val="00E612FB"/>
    <w:rsid w:val="00E73237"/>
    <w:rsid w:val="00EB0D2E"/>
    <w:rsid w:val="00ED19EE"/>
    <w:rsid w:val="00EE7D98"/>
    <w:rsid w:val="00F43ED9"/>
    <w:rsid w:val="00F55DFF"/>
    <w:rsid w:val="00F71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 Gothic" w:eastAsiaTheme="minorHAnsi" w:hAnsi="Century Gothic" w:cs="Times New Roman"/>
        <w:bCs/>
        <w:iCs/>
        <w:kern w:val="36"/>
        <w:sz w:val="22"/>
        <w:szCs w:val="22"/>
        <w:lang w:val="it-IT" w:eastAsia="en-US" w:bidi="ar-SA"/>
      </w:rPr>
    </w:rPrDefault>
    <w:pPrDefault>
      <w:pPr>
        <w:spacing w:line="276" w:lineRule="auto"/>
        <w:ind w:left="23" w:right="-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81585"/>
    <w:pPr>
      <w:spacing w:after="200"/>
      <w:ind w:left="0" w:right="0"/>
      <w:jc w:val="left"/>
    </w:pPr>
    <w:rPr>
      <w:rFonts w:asciiTheme="minorHAnsi" w:hAnsiTheme="minorHAnsi" w:cstheme="minorBidi"/>
      <w:bCs w:val="0"/>
      <w:iCs w:val="0"/>
      <w:kern w:val="0"/>
    </w:rPr>
  </w:style>
  <w:style w:type="paragraph" w:styleId="Titolo1">
    <w:name w:val="heading 1"/>
    <w:basedOn w:val="Normale"/>
    <w:link w:val="Titolo1Carattere"/>
    <w:uiPriority w:val="9"/>
    <w:qFormat/>
    <w:rsid w:val="00130235"/>
    <w:pPr>
      <w:keepNext/>
      <w:spacing w:before="240" w:after="60" w:line="240" w:lineRule="auto"/>
      <w:ind w:left="480" w:right="34"/>
      <w:jc w:val="both"/>
      <w:outlineLvl w:val="0"/>
    </w:pPr>
    <w:rPr>
      <w:rFonts w:ascii="Century Gothic" w:hAnsi="Century Gothic" w:cs="Century Gothic"/>
      <w:b/>
      <w:bCs/>
      <w:sz w:val="32"/>
      <w:szCs w:val="32"/>
      <w:lang w:eastAsia="it-IT"/>
    </w:rPr>
  </w:style>
  <w:style w:type="paragraph" w:styleId="Titolo2">
    <w:name w:val="heading 2"/>
    <w:basedOn w:val="Normale"/>
    <w:link w:val="Titolo2Carattere"/>
    <w:qFormat/>
    <w:rsid w:val="00130235"/>
    <w:pPr>
      <w:keepNext/>
      <w:spacing w:before="240" w:after="60" w:line="240" w:lineRule="auto"/>
      <w:jc w:val="center"/>
      <w:outlineLvl w:val="1"/>
    </w:pPr>
    <w:rPr>
      <w:rFonts w:ascii="Century Gothic" w:hAnsi="Century Gothic" w:cs="Century Gothic"/>
      <w:sz w:val="24"/>
      <w:szCs w:val="24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130235"/>
    <w:pPr>
      <w:keepNext/>
      <w:spacing w:before="240" w:after="60" w:line="240" w:lineRule="auto"/>
      <w:jc w:val="both"/>
      <w:outlineLvl w:val="2"/>
    </w:pPr>
    <w:rPr>
      <w:rFonts w:ascii="Century Gothic" w:hAnsi="Century Gothic" w:cs="Century Gothic"/>
      <w:b/>
      <w:bCs/>
      <w:sz w:val="24"/>
      <w:szCs w:val="24"/>
      <w:lang w:eastAsia="it-IT"/>
    </w:rPr>
  </w:style>
  <w:style w:type="paragraph" w:styleId="Titolo4">
    <w:name w:val="heading 4"/>
    <w:basedOn w:val="Normale"/>
    <w:link w:val="Titolo4Carattere"/>
    <w:uiPriority w:val="9"/>
    <w:qFormat/>
    <w:rsid w:val="00130235"/>
    <w:pPr>
      <w:keepNext/>
      <w:spacing w:before="240" w:after="60" w:line="240" w:lineRule="auto"/>
      <w:jc w:val="both"/>
      <w:outlineLvl w:val="3"/>
    </w:pPr>
    <w:rPr>
      <w:rFonts w:ascii="Times New Roman" w:hAnsi="Times New Roman" w:cs="Times New Roman"/>
      <w:b/>
      <w:bCs/>
      <w:sz w:val="28"/>
      <w:szCs w:val="28"/>
      <w:lang w:eastAsia="it-IT"/>
    </w:rPr>
  </w:style>
  <w:style w:type="paragraph" w:styleId="Titolo6">
    <w:name w:val="heading 6"/>
    <w:basedOn w:val="Normale"/>
    <w:link w:val="Titolo6Carattere"/>
    <w:uiPriority w:val="9"/>
    <w:qFormat/>
    <w:rsid w:val="00130235"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qFormat/>
    <w:rsid w:val="00424BEE"/>
    <w:rPr>
      <w:rFonts w:ascii="Century Gothic" w:eastAsia="SimSun" w:hAnsi="Century Gothic" w:hint="default"/>
      <w:i/>
      <w:color w:val="002776"/>
      <w:sz w:val="26"/>
      <w:szCs w:val="28"/>
      <w:u w:val="none"/>
    </w:rPr>
  </w:style>
  <w:style w:type="paragraph" w:styleId="NormaleWeb">
    <w:name w:val="Normal (Web)"/>
    <w:basedOn w:val="Normale"/>
    <w:uiPriority w:val="99"/>
    <w:unhideWhenUsed/>
    <w:rsid w:val="00424BEE"/>
    <w:pPr>
      <w:spacing w:before="100" w:beforeAutospacing="1" w:after="100" w:afterAutospacing="1" w:line="240" w:lineRule="auto"/>
      <w:jc w:val="both"/>
    </w:pPr>
    <w:rPr>
      <w:rFonts w:ascii="Century Gothic" w:eastAsia="Times New Roman" w:hAnsi="Century Gothic" w:cs="Century Gothic"/>
      <w:bCs/>
      <w:iCs/>
      <w:kern w:val="36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30235"/>
    <w:rPr>
      <w:rFonts w:ascii="Trebuchet MS" w:eastAsiaTheme="minorEastAsia" w:hAnsi="Trebuchet MS" w:cs="Century Gothic"/>
      <w:b/>
      <w:bCs w:val="0"/>
      <w:kern w:val="36"/>
      <w:sz w:val="32"/>
      <w:szCs w:val="32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130235"/>
    <w:pPr>
      <w:spacing w:before="240" w:after="60" w:line="240" w:lineRule="auto"/>
      <w:jc w:val="center"/>
    </w:pPr>
    <w:rPr>
      <w:rFonts w:ascii="Arial" w:hAnsi="Arial" w:cs="Arial"/>
      <w:b/>
      <w:bCs/>
      <w:sz w:val="32"/>
      <w:szCs w:val="32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130235"/>
    <w:rPr>
      <w:rFonts w:ascii="Arial" w:eastAsiaTheme="minorEastAsia" w:hAnsi="Arial" w:cs="Arial"/>
      <w:b/>
      <w:bCs w:val="0"/>
      <w:color w:val="008000"/>
      <w:sz w:val="32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0235"/>
    <w:pPr>
      <w:numPr>
        <w:ilvl w:val="1"/>
      </w:numPr>
      <w:spacing w:after="0" w:line="240" w:lineRule="auto"/>
      <w:ind w:left="600"/>
      <w:jc w:val="both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0235"/>
    <w:rPr>
      <w:rFonts w:asciiTheme="majorHAnsi" w:eastAsiaTheme="majorEastAsia" w:hAnsiTheme="majorHAnsi" w:cstheme="majorBidi"/>
      <w:i/>
      <w:iCs w:val="0"/>
      <w:color w:val="4F81BD" w:themeColor="accent1"/>
      <w:spacing w:val="15"/>
      <w:sz w:val="24"/>
      <w:szCs w:val="24"/>
      <w:lang w:eastAsia="it-IT"/>
    </w:rPr>
  </w:style>
  <w:style w:type="paragraph" w:customStyle="1" w:styleId="link">
    <w:name w:val="link"/>
    <w:basedOn w:val="Normale"/>
    <w:link w:val="linkCarattere"/>
    <w:autoRedefine/>
    <w:uiPriority w:val="99"/>
    <w:rsid w:val="009B4EA1"/>
    <w:pPr>
      <w:tabs>
        <w:tab w:val="left" w:pos="708"/>
      </w:tabs>
      <w:spacing w:before="100" w:beforeAutospacing="1" w:after="100"/>
      <w:ind w:left="170" w:right="-39"/>
    </w:pPr>
    <w:rPr>
      <w:rFonts w:cs="Century Gothic"/>
    </w:rPr>
  </w:style>
  <w:style w:type="character" w:customStyle="1" w:styleId="linkCarattere">
    <w:name w:val="link Carattere"/>
    <w:basedOn w:val="Carpredefinitoparagrafo"/>
    <w:link w:val="link"/>
    <w:uiPriority w:val="99"/>
    <w:locked/>
    <w:rsid w:val="009B4EA1"/>
    <w:rPr>
      <w:rFonts w:cs="Century Gothic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130235"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paragraph" w:customStyle="1" w:styleId="msolistparagraphcxspfirst">
    <w:name w:val="msolistparagraphcxspfirst"/>
    <w:basedOn w:val="Normale"/>
    <w:uiPriority w:val="99"/>
    <w:semiHidden/>
    <w:rsid w:val="00130235"/>
    <w:pPr>
      <w:spacing w:after="0" w:line="240" w:lineRule="auto"/>
      <w:ind w:left="720"/>
      <w:jc w:val="both"/>
    </w:pPr>
    <w:rPr>
      <w:rFonts w:ascii="Century Gothic" w:hAnsi="Century Gothic" w:cs="Times New Roman"/>
      <w:sz w:val="24"/>
      <w:szCs w:val="24"/>
      <w:lang w:eastAsia="it-IT"/>
    </w:rPr>
  </w:style>
  <w:style w:type="paragraph" w:customStyle="1" w:styleId="msolistparagraphcxspmiddle">
    <w:name w:val="msolistparagraphcxspmiddle"/>
    <w:basedOn w:val="Normale"/>
    <w:uiPriority w:val="99"/>
    <w:semiHidden/>
    <w:rsid w:val="00130235"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rsid w:val="00130235"/>
    <w:pPr>
      <w:ind w:left="720"/>
    </w:pPr>
  </w:style>
  <w:style w:type="paragraph" w:customStyle="1" w:styleId="Stile1">
    <w:name w:val="Stile1"/>
    <w:basedOn w:val="Normale"/>
    <w:uiPriority w:val="99"/>
    <w:semiHidden/>
    <w:rsid w:val="00130235"/>
    <w:rPr>
      <w:rFonts w:ascii="Garamond" w:hAnsi="Garamond"/>
    </w:rPr>
  </w:style>
  <w:style w:type="paragraph" w:customStyle="1" w:styleId="msonospacing0">
    <w:name w:val="msonospacing"/>
    <w:basedOn w:val="Normale"/>
    <w:uiPriority w:val="1"/>
    <w:semiHidden/>
    <w:qFormat/>
    <w:rsid w:val="00130235"/>
    <w:pPr>
      <w:ind w:left="2160"/>
    </w:pPr>
    <w:rPr>
      <w:color w:val="0F243E"/>
    </w:rPr>
  </w:style>
  <w:style w:type="paragraph" w:customStyle="1" w:styleId="by-line">
    <w:name w:val="by-line"/>
    <w:basedOn w:val="Normale"/>
    <w:uiPriority w:val="99"/>
    <w:semiHidden/>
    <w:rsid w:val="00130235"/>
    <w:pPr>
      <w:spacing w:before="100" w:beforeAutospacing="1" w:after="100"/>
    </w:pPr>
  </w:style>
  <w:style w:type="paragraph" w:customStyle="1" w:styleId="msochpdefault">
    <w:name w:val="msochpdefault"/>
    <w:basedOn w:val="Normale"/>
    <w:uiPriority w:val="99"/>
    <w:semiHidden/>
    <w:rsid w:val="00130235"/>
    <w:pPr>
      <w:spacing w:before="100" w:beforeAutospacing="1" w:after="100"/>
    </w:pPr>
    <w:rPr>
      <w:rFonts w:ascii="Times New Roman" w:hAnsi="Times New Roman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rsid w:val="00130235"/>
    <w:pPr>
      <w:keepLines/>
      <w:spacing w:before="480" w:after="0"/>
      <w:ind w:left="0" w:right="0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rsid w:val="0013023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before="120"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rsid w:val="00130235"/>
    <w:pPr>
      <w:spacing w:before="100" w:beforeAutospacing="1" w:after="100"/>
    </w:pPr>
    <w:rPr>
      <w:rFonts w:cs="Century Gothic"/>
    </w:rPr>
  </w:style>
  <w:style w:type="character" w:customStyle="1" w:styleId="occhiello">
    <w:name w:val="occhiello"/>
    <w:basedOn w:val="Carpredefinitoparagrafo"/>
    <w:rsid w:val="00130235"/>
  </w:style>
  <w:style w:type="character" w:customStyle="1" w:styleId="titolo10">
    <w:name w:val="titolo1"/>
    <w:basedOn w:val="Carpredefinitoparagrafo"/>
    <w:rsid w:val="00130235"/>
  </w:style>
  <w:style w:type="character" w:customStyle="1" w:styleId="sommario">
    <w:name w:val="sommario"/>
    <w:basedOn w:val="Carpredefinitoparagrafo"/>
    <w:rsid w:val="00130235"/>
  </w:style>
  <w:style w:type="character" w:customStyle="1" w:styleId="txt12">
    <w:name w:val="txt12"/>
    <w:basedOn w:val="Carpredefinitoparagrafo"/>
    <w:rsid w:val="00130235"/>
  </w:style>
  <w:style w:type="character" w:customStyle="1" w:styleId="articolotitolo1">
    <w:name w:val="articolotitolo1"/>
    <w:basedOn w:val="Carpredefinitoparagrafo"/>
    <w:rsid w:val="00130235"/>
    <w:rPr>
      <w:rFonts w:ascii="Verdana" w:hAnsi="Verdana" w:hint="default"/>
      <w:b/>
      <w:bCs w:val="0"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  <w:rsid w:val="00130235"/>
  </w:style>
  <w:style w:type="character" w:customStyle="1" w:styleId="grigioscuro">
    <w:name w:val="grigioscuro"/>
    <w:basedOn w:val="Carpredefinitoparagrafo"/>
    <w:rsid w:val="00130235"/>
  </w:style>
  <w:style w:type="character" w:customStyle="1" w:styleId="fwb1">
    <w:name w:val="fwb1"/>
    <w:rsid w:val="00130235"/>
    <w:rPr>
      <w:b/>
      <w:bCs w:val="0"/>
    </w:rPr>
  </w:style>
  <w:style w:type="character" w:customStyle="1" w:styleId="usercontent">
    <w:name w:val="usercontent"/>
    <w:basedOn w:val="Carpredefinitoparagrafo"/>
    <w:rsid w:val="00130235"/>
  </w:style>
  <w:style w:type="character" w:customStyle="1" w:styleId="credits">
    <w:name w:val="credits"/>
    <w:basedOn w:val="Carpredefinitoparagrafo"/>
    <w:rsid w:val="00130235"/>
  </w:style>
  <w:style w:type="character" w:customStyle="1" w:styleId="metaauthor">
    <w:name w:val="meta_author"/>
    <w:basedOn w:val="Carpredefinitoparagrafo"/>
    <w:rsid w:val="00130235"/>
  </w:style>
  <w:style w:type="character" w:customStyle="1" w:styleId="uficommentbody">
    <w:name w:val="uficommentbody"/>
    <w:basedOn w:val="Carpredefinitoparagrafo"/>
    <w:rsid w:val="00130235"/>
  </w:style>
  <w:style w:type="character" w:customStyle="1" w:styleId="Titolo2Carattere">
    <w:name w:val="Titolo 2 Carattere"/>
    <w:basedOn w:val="Carpredefinitoparagrafo"/>
    <w:link w:val="Titolo2"/>
    <w:rsid w:val="00130235"/>
    <w:rPr>
      <w:rFonts w:ascii="Trebuchet MS" w:eastAsiaTheme="minorEastAsia" w:hAnsi="Trebuchet MS" w:cs="Century Gothic"/>
      <w:color w:val="008000"/>
      <w:sz w:val="16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130235"/>
    <w:rPr>
      <w:rFonts w:ascii="Trebuchet MS" w:eastAsiaTheme="minorEastAsia" w:hAnsi="Trebuchet MS" w:cs="Century Gothic"/>
      <w:b/>
      <w:bCs w:val="0"/>
      <w:color w:val="008000"/>
      <w:sz w:val="22"/>
      <w:szCs w:val="22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130235"/>
    <w:rPr>
      <w:rFonts w:ascii="Times New Roman" w:eastAsiaTheme="minorEastAsia" w:hAnsi="Times New Roman" w:cs="Times New Roman"/>
      <w:b/>
      <w:bCs w:val="0"/>
      <w:sz w:val="28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30235"/>
    <w:rPr>
      <w:rFonts w:ascii="Times New Roman" w:eastAsiaTheme="minorEastAsia" w:hAnsi="Times New Roman" w:cs="Times New Roman"/>
      <w:b/>
      <w:bCs w:val="0"/>
      <w:color w:val="008000"/>
      <w:sz w:val="22"/>
      <w:szCs w:val="22"/>
      <w:lang w:eastAsia="it-IT"/>
    </w:rPr>
  </w:style>
  <w:style w:type="paragraph" w:styleId="Sommario1">
    <w:name w:val="toc 1"/>
    <w:basedOn w:val="Normale"/>
    <w:autoRedefine/>
    <w:uiPriority w:val="39"/>
    <w:semiHidden/>
    <w:unhideWhenUsed/>
    <w:rsid w:val="00130235"/>
    <w:pPr>
      <w:spacing w:after="0" w:line="240" w:lineRule="auto"/>
      <w:ind w:right="-2"/>
      <w:jc w:val="both"/>
    </w:pPr>
    <w:rPr>
      <w:rFonts w:ascii="Century Gothic" w:hAnsi="Century Gothic" w:cs="Times New Roman"/>
      <w:sz w:val="24"/>
      <w:szCs w:val="24"/>
      <w:lang w:eastAsia="it-IT"/>
    </w:rPr>
  </w:style>
  <w:style w:type="paragraph" w:styleId="Sommario3">
    <w:name w:val="toc 3"/>
    <w:basedOn w:val="Normale"/>
    <w:autoRedefine/>
    <w:uiPriority w:val="39"/>
    <w:semiHidden/>
    <w:unhideWhenUsed/>
    <w:rsid w:val="00130235"/>
    <w:pPr>
      <w:spacing w:after="0" w:line="240" w:lineRule="auto"/>
      <w:ind w:left="440"/>
      <w:jc w:val="both"/>
    </w:pPr>
    <w:rPr>
      <w:rFonts w:ascii="Times New Roman" w:hAnsi="Times New Roman" w:cs="Times New Roman"/>
      <w:sz w:val="24"/>
      <w:szCs w:val="24"/>
      <w:lang w:eastAsia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0235"/>
    <w:pPr>
      <w:spacing w:after="0" w:line="240" w:lineRule="auto"/>
      <w:jc w:val="both"/>
    </w:pPr>
    <w:rPr>
      <w:rFonts w:ascii="Times New Roman" w:hAnsi="Times New Roman" w:cs="Times New Roman"/>
      <w:sz w:val="24"/>
      <w:szCs w:val="24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0235"/>
    <w:rPr>
      <w:rFonts w:ascii="Times New Roman" w:eastAsiaTheme="minorEastAsia" w:hAnsi="Times New Roman" w:cs="Times New Roman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30235"/>
    <w:pPr>
      <w:spacing w:after="0" w:line="240" w:lineRule="auto"/>
      <w:jc w:val="both"/>
    </w:pPr>
    <w:rPr>
      <w:rFonts w:ascii="Times New Roman" w:hAnsi="Times New Roman" w:cs="Times New Roman"/>
      <w:sz w:val="24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30235"/>
    <w:pPr>
      <w:spacing w:after="0" w:line="240" w:lineRule="auto"/>
      <w:jc w:val="both"/>
    </w:pPr>
    <w:rPr>
      <w:rFonts w:ascii="Times New Roman" w:hAnsi="Times New Roman" w:cs="Times New Roman"/>
      <w:sz w:val="24"/>
      <w:szCs w:val="24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0235"/>
    <w:rPr>
      <w:vertAlign w:val="superscript"/>
    </w:rPr>
  </w:style>
  <w:style w:type="paragraph" w:styleId="Data">
    <w:name w:val="Date"/>
    <w:basedOn w:val="Normale"/>
    <w:link w:val="DataCarattere"/>
    <w:uiPriority w:val="99"/>
    <w:semiHidden/>
    <w:unhideWhenUsed/>
    <w:rsid w:val="00130235"/>
    <w:pPr>
      <w:spacing w:after="0" w:line="240" w:lineRule="auto"/>
      <w:jc w:val="both"/>
    </w:pPr>
    <w:rPr>
      <w:rFonts w:ascii="Century Gothic" w:hAnsi="Century Gothic" w:cs="Times New Roman"/>
      <w:sz w:val="24"/>
      <w:szCs w:val="24"/>
      <w:lang w:eastAsia="it-IT"/>
    </w:rPr>
  </w:style>
  <w:style w:type="character" w:customStyle="1" w:styleId="DataCarattere">
    <w:name w:val="Data Carattere"/>
    <w:basedOn w:val="Carpredefinitoparagrafo"/>
    <w:link w:val="Data"/>
    <w:uiPriority w:val="99"/>
    <w:semiHidden/>
    <w:rsid w:val="00130235"/>
    <w:rPr>
      <w:rFonts w:ascii="Trebuchet MS" w:eastAsiaTheme="minorEastAsia" w:hAnsi="Trebuchet MS" w:cs="Times New Roman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130235"/>
    <w:pPr>
      <w:spacing w:after="0" w:line="240" w:lineRule="auto"/>
      <w:ind w:left="480"/>
      <w:jc w:val="both"/>
    </w:pPr>
    <w:rPr>
      <w:rFonts w:ascii="Century Gothic" w:hAnsi="Century Gothic" w:cs="Times New Roman"/>
      <w:color w:val="FF0000"/>
      <w:sz w:val="18"/>
      <w:szCs w:val="18"/>
      <w:lang w:eastAsia="it-IT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130235"/>
    <w:pPr>
      <w:spacing w:after="0" w:line="240" w:lineRule="auto"/>
      <w:jc w:val="both"/>
    </w:pPr>
    <w:rPr>
      <w:rFonts w:ascii="Calibri" w:hAnsi="Calibri" w:cs="Times New Roman"/>
      <w:sz w:val="24"/>
      <w:szCs w:val="21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130235"/>
    <w:rPr>
      <w:rFonts w:ascii="Calibri" w:hAnsi="Calibri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235"/>
    <w:pPr>
      <w:spacing w:after="0" w:line="240" w:lineRule="auto"/>
      <w:jc w:val="both"/>
    </w:pPr>
    <w:rPr>
      <w:rFonts w:ascii="Tahoma" w:hAnsi="Tahoma" w:cs="Tahoma"/>
      <w:sz w:val="24"/>
      <w:szCs w:val="24"/>
      <w:lang w:eastAsia="it-IT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235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30235"/>
    <w:rPr>
      <w:rFonts w:ascii="Times New Roman" w:hAnsi="Times New Roman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essunaspaziatura">
    <w:name w:val="No Spacing"/>
    <w:basedOn w:val="Normale"/>
    <w:uiPriority w:val="1"/>
    <w:qFormat/>
    <w:rsid w:val="00130235"/>
    <w:pPr>
      <w:spacing w:after="0" w:line="240" w:lineRule="auto"/>
      <w:ind w:left="2160"/>
      <w:jc w:val="both"/>
    </w:pPr>
    <w:rPr>
      <w:rFonts w:ascii="Century Gothic" w:hAnsi="Century Gothic" w:cs="Times New Roman"/>
      <w:color w:val="0F243E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130235"/>
    <w:pPr>
      <w:spacing w:after="0" w:line="240" w:lineRule="auto"/>
      <w:ind w:left="720"/>
      <w:jc w:val="both"/>
    </w:pPr>
    <w:rPr>
      <w:rFonts w:ascii="Century Gothic" w:hAnsi="Century Gothic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 Gothic" w:eastAsiaTheme="minorHAnsi" w:hAnsi="Century Gothic" w:cs="Times New Roman"/>
        <w:bCs/>
        <w:iCs/>
        <w:kern w:val="36"/>
        <w:sz w:val="22"/>
        <w:szCs w:val="22"/>
        <w:lang w:val="it-IT" w:eastAsia="en-US" w:bidi="ar-SA"/>
      </w:rPr>
    </w:rPrDefault>
    <w:pPrDefault>
      <w:pPr>
        <w:spacing w:line="276" w:lineRule="auto"/>
        <w:ind w:left="23" w:right="-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81585"/>
    <w:pPr>
      <w:spacing w:after="200"/>
      <w:ind w:left="0" w:right="0"/>
      <w:jc w:val="left"/>
    </w:pPr>
    <w:rPr>
      <w:rFonts w:asciiTheme="minorHAnsi" w:hAnsiTheme="minorHAnsi" w:cstheme="minorBidi"/>
      <w:bCs w:val="0"/>
      <w:iCs w:val="0"/>
      <w:kern w:val="0"/>
    </w:rPr>
  </w:style>
  <w:style w:type="paragraph" w:styleId="Titolo1">
    <w:name w:val="heading 1"/>
    <w:basedOn w:val="Normale"/>
    <w:link w:val="Titolo1Carattere"/>
    <w:uiPriority w:val="9"/>
    <w:qFormat/>
    <w:rsid w:val="00130235"/>
    <w:pPr>
      <w:keepNext/>
      <w:spacing w:before="240" w:after="60" w:line="240" w:lineRule="auto"/>
      <w:ind w:left="480" w:right="34"/>
      <w:jc w:val="both"/>
      <w:outlineLvl w:val="0"/>
    </w:pPr>
    <w:rPr>
      <w:rFonts w:ascii="Century Gothic" w:hAnsi="Century Gothic" w:cs="Century Gothic"/>
      <w:b/>
      <w:bCs/>
      <w:sz w:val="32"/>
      <w:szCs w:val="32"/>
      <w:lang w:eastAsia="it-IT"/>
    </w:rPr>
  </w:style>
  <w:style w:type="paragraph" w:styleId="Titolo2">
    <w:name w:val="heading 2"/>
    <w:basedOn w:val="Normale"/>
    <w:link w:val="Titolo2Carattere"/>
    <w:qFormat/>
    <w:rsid w:val="00130235"/>
    <w:pPr>
      <w:keepNext/>
      <w:spacing w:before="240" w:after="60" w:line="240" w:lineRule="auto"/>
      <w:jc w:val="center"/>
      <w:outlineLvl w:val="1"/>
    </w:pPr>
    <w:rPr>
      <w:rFonts w:ascii="Century Gothic" w:hAnsi="Century Gothic" w:cs="Century Gothic"/>
      <w:sz w:val="24"/>
      <w:szCs w:val="24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130235"/>
    <w:pPr>
      <w:keepNext/>
      <w:spacing w:before="240" w:after="60" w:line="240" w:lineRule="auto"/>
      <w:jc w:val="both"/>
      <w:outlineLvl w:val="2"/>
    </w:pPr>
    <w:rPr>
      <w:rFonts w:ascii="Century Gothic" w:hAnsi="Century Gothic" w:cs="Century Gothic"/>
      <w:b/>
      <w:bCs/>
      <w:sz w:val="24"/>
      <w:szCs w:val="24"/>
      <w:lang w:eastAsia="it-IT"/>
    </w:rPr>
  </w:style>
  <w:style w:type="paragraph" w:styleId="Titolo4">
    <w:name w:val="heading 4"/>
    <w:basedOn w:val="Normale"/>
    <w:link w:val="Titolo4Carattere"/>
    <w:uiPriority w:val="9"/>
    <w:qFormat/>
    <w:rsid w:val="00130235"/>
    <w:pPr>
      <w:keepNext/>
      <w:spacing w:before="240" w:after="60" w:line="240" w:lineRule="auto"/>
      <w:jc w:val="both"/>
      <w:outlineLvl w:val="3"/>
    </w:pPr>
    <w:rPr>
      <w:rFonts w:ascii="Times New Roman" w:hAnsi="Times New Roman" w:cs="Times New Roman"/>
      <w:b/>
      <w:bCs/>
      <w:sz w:val="28"/>
      <w:szCs w:val="28"/>
      <w:lang w:eastAsia="it-IT"/>
    </w:rPr>
  </w:style>
  <w:style w:type="paragraph" w:styleId="Titolo6">
    <w:name w:val="heading 6"/>
    <w:basedOn w:val="Normale"/>
    <w:link w:val="Titolo6Carattere"/>
    <w:uiPriority w:val="9"/>
    <w:qFormat/>
    <w:rsid w:val="00130235"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qFormat/>
    <w:rsid w:val="00424BEE"/>
    <w:rPr>
      <w:rFonts w:ascii="Century Gothic" w:eastAsia="SimSun" w:hAnsi="Century Gothic" w:hint="default"/>
      <w:i/>
      <w:color w:val="002776"/>
      <w:sz w:val="26"/>
      <w:szCs w:val="28"/>
      <w:u w:val="none"/>
    </w:rPr>
  </w:style>
  <w:style w:type="paragraph" w:styleId="NormaleWeb">
    <w:name w:val="Normal (Web)"/>
    <w:basedOn w:val="Normale"/>
    <w:uiPriority w:val="99"/>
    <w:unhideWhenUsed/>
    <w:rsid w:val="00424BEE"/>
    <w:pPr>
      <w:spacing w:before="100" w:beforeAutospacing="1" w:after="100" w:afterAutospacing="1" w:line="240" w:lineRule="auto"/>
      <w:jc w:val="both"/>
    </w:pPr>
    <w:rPr>
      <w:rFonts w:ascii="Century Gothic" w:eastAsia="Times New Roman" w:hAnsi="Century Gothic" w:cs="Century Gothic"/>
      <w:bCs/>
      <w:iCs/>
      <w:kern w:val="36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30235"/>
    <w:rPr>
      <w:rFonts w:ascii="Trebuchet MS" w:eastAsiaTheme="minorEastAsia" w:hAnsi="Trebuchet MS" w:cs="Century Gothic"/>
      <w:b/>
      <w:bCs w:val="0"/>
      <w:kern w:val="36"/>
      <w:sz w:val="32"/>
      <w:szCs w:val="32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130235"/>
    <w:pPr>
      <w:spacing w:before="240" w:after="60" w:line="240" w:lineRule="auto"/>
      <w:jc w:val="center"/>
    </w:pPr>
    <w:rPr>
      <w:rFonts w:ascii="Arial" w:hAnsi="Arial" w:cs="Arial"/>
      <w:b/>
      <w:bCs/>
      <w:sz w:val="32"/>
      <w:szCs w:val="32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130235"/>
    <w:rPr>
      <w:rFonts w:ascii="Arial" w:eastAsiaTheme="minorEastAsia" w:hAnsi="Arial" w:cs="Arial"/>
      <w:b/>
      <w:bCs w:val="0"/>
      <w:color w:val="008000"/>
      <w:sz w:val="32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0235"/>
    <w:pPr>
      <w:numPr>
        <w:ilvl w:val="1"/>
      </w:numPr>
      <w:spacing w:after="0" w:line="240" w:lineRule="auto"/>
      <w:ind w:left="600"/>
      <w:jc w:val="both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0235"/>
    <w:rPr>
      <w:rFonts w:asciiTheme="majorHAnsi" w:eastAsiaTheme="majorEastAsia" w:hAnsiTheme="majorHAnsi" w:cstheme="majorBidi"/>
      <w:i/>
      <w:iCs w:val="0"/>
      <w:color w:val="4F81BD" w:themeColor="accent1"/>
      <w:spacing w:val="15"/>
      <w:sz w:val="24"/>
      <w:szCs w:val="24"/>
      <w:lang w:eastAsia="it-IT"/>
    </w:rPr>
  </w:style>
  <w:style w:type="paragraph" w:customStyle="1" w:styleId="link">
    <w:name w:val="link"/>
    <w:basedOn w:val="Normale"/>
    <w:link w:val="linkCarattere"/>
    <w:autoRedefine/>
    <w:uiPriority w:val="99"/>
    <w:rsid w:val="009B4EA1"/>
    <w:pPr>
      <w:tabs>
        <w:tab w:val="left" w:pos="708"/>
      </w:tabs>
      <w:spacing w:before="100" w:beforeAutospacing="1" w:after="100"/>
      <w:ind w:left="170" w:right="-39"/>
    </w:pPr>
    <w:rPr>
      <w:rFonts w:cs="Century Gothic"/>
    </w:rPr>
  </w:style>
  <w:style w:type="character" w:customStyle="1" w:styleId="linkCarattere">
    <w:name w:val="link Carattere"/>
    <w:basedOn w:val="Carpredefinitoparagrafo"/>
    <w:link w:val="link"/>
    <w:uiPriority w:val="99"/>
    <w:locked/>
    <w:rsid w:val="009B4EA1"/>
    <w:rPr>
      <w:rFonts w:cs="Century Gothic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130235"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paragraph" w:customStyle="1" w:styleId="msolistparagraphcxspfirst">
    <w:name w:val="msolistparagraphcxspfirst"/>
    <w:basedOn w:val="Normale"/>
    <w:uiPriority w:val="99"/>
    <w:semiHidden/>
    <w:rsid w:val="00130235"/>
    <w:pPr>
      <w:spacing w:after="0" w:line="240" w:lineRule="auto"/>
      <w:ind w:left="720"/>
      <w:jc w:val="both"/>
    </w:pPr>
    <w:rPr>
      <w:rFonts w:ascii="Century Gothic" w:hAnsi="Century Gothic" w:cs="Times New Roman"/>
      <w:sz w:val="24"/>
      <w:szCs w:val="24"/>
      <w:lang w:eastAsia="it-IT"/>
    </w:rPr>
  </w:style>
  <w:style w:type="paragraph" w:customStyle="1" w:styleId="msolistparagraphcxspmiddle">
    <w:name w:val="msolistparagraphcxspmiddle"/>
    <w:basedOn w:val="Normale"/>
    <w:uiPriority w:val="99"/>
    <w:semiHidden/>
    <w:rsid w:val="00130235"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rsid w:val="00130235"/>
    <w:pPr>
      <w:ind w:left="720"/>
    </w:pPr>
  </w:style>
  <w:style w:type="paragraph" w:customStyle="1" w:styleId="Stile1">
    <w:name w:val="Stile1"/>
    <w:basedOn w:val="Normale"/>
    <w:uiPriority w:val="99"/>
    <w:semiHidden/>
    <w:rsid w:val="00130235"/>
    <w:rPr>
      <w:rFonts w:ascii="Garamond" w:hAnsi="Garamond"/>
    </w:rPr>
  </w:style>
  <w:style w:type="paragraph" w:customStyle="1" w:styleId="msonospacing0">
    <w:name w:val="msonospacing"/>
    <w:basedOn w:val="Normale"/>
    <w:uiPriority w:val="1"/>
    <w:semiHidden/>
    <w:qFormat/>
    <w:rsid w:val="00130235"/>
    <w:pPr>
      <w:ind w:left="2160"/>
    </w:pPr>
    <w:rPr>
      <w:color w:val="0F243E"/>
    </w:rPr>
  </w:style>
  <w:style w:type="paragraph" w:customStyle="1" w:styleId="by-line">
    <w:name w:val="by-line"/>
    <w:basedOn w:val="Normale"/>
    <w:uiPriority w:val="99"/>
    <w:semiHidden/>
    <w:rsid w:val="00130235"/>
    <w:pPr>
      <w:spacing w:before="100" w:beforeAutospacing="1" w:after="100"/>
    </w:pPr>
  </w:style>
  <w:style w:type="paragraph" w:customStyle="1" w:styleId="msochpdefault">
    <w:name w:val="msochpdefault"/>
    <w:basedOn w:val="Normale"/>
    <w:uiPriority w:val="99"/>
    <w:semiHidden/>
    <w:rsid w:val="00130235"/>
    <w:pPr>
      <w:spacing w:before="100" w:beforeAutospacing="1" w:after="100"/>
    </w:pPr>
    <w:rPr>
      <w:rFonts w:ascii="Times New Roman" w:hAnsi="Times New Roman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rsid w:val="00130235"/>
    <w:pPr>
      <w:keepLines/>
      <w:spacing w:before="480" w:after="0"/>
      <w:ind w:left="0" w:right="0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rsid w:val="0013023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before="120"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rsid w:val="00130235"/>
    <w:pPr>
      <w:spacing w:before="100" w:beforeAutospacing="1" w:after="100"/>
    </w:pPr>
    <w:rPr>
      <w:rFonts w:cs="Century Gothic"/>
    </w:rPr>
  </w:style>
  <w:style w:type="character" w:customStyle="1" w:styleId="occhiello">
    <w:name w:val="occhiello"/>
    <w:basedOn w:val="Carpredefinitoparagrafo"/>
    <w:rsid w:val="00130235"/>
  </w:style>
  <w:style w:type="character" w:customStyle="1" w:styleId="titolo10">
    <w:name w:val="titolo1"/>
    <w:basedOn w:val="Carpredefinitoparagrafo"/>
    <w:rsid w:val="00130235"/>
  </w:style>
  <w:style w:type="character" w:customStyle="1" w:styleId="sommario">
    <w:name w:val="sommario"/>
    <w:basedOn w:val="Carpredefinitoparagrafo"/>
    <w:rsid w:val="00130235"/>
  </w:style>
  <w:style w:type="character" w:customStyle="1" w:styleId="txt12">
    <w:name w:val="txt12"/>
    <w:basedOn w:val="Carpredefinitoparagrafo"/>
    <w:rsid w:val="00130235"/>
  </w:style>
  <w:style w:type="character" w:customStyle="1" w:styleId="articolotitolo1">
    <w:name w:val="articolotitolo1"/>
    <w:basedOn w:val="Carpredefinitoparagrafo"/>
    <w:rsid w:val="00130235"/>
    <w:rPr>
      <w:rFonts w:ascii="Verdana" w:hAnsi="Verdana" w:hint="default"/>
      <w:b/>
      <w:bCs w:val="0"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  <w:rsid w:val="00130235"/>
  </w:style>
  <w:style w:type="character" w:customStyle="1" w:styleId="grigioscuro">
    <w:name w:val="grigioscuro"/>
    <w:basedOn w:val="Carpredefinitoparagrafo"/>
    <w:rsid w:val="00130235"/>
  </w:style>
  <w:style w:type="character" w:customStyle="1" w:styleId="fwb1">
    <w:name w:val="fwb1"/>
    <w:rsid w:val="00130235"/>
    <w:rPr>
      <w:b/>
      <w:bCs w:val="0"/>
    </w:rPr>
  </w:style>
  <w:style w:type="character" w:customStyle="1" w:styleId="usercontent">
    <w:name w:val="usercontent"/>
    <w:basedOn w:val="Carpredefinitoparagrafo"/>
    <w:rsid w:val="00130235"/>
  </w:style>
  <w:style w:type="character" w:customStyle="1" w:styleId="credits">
    <w:name w:val="credits"/>
    <w:basedOn w:val="Carpredefinitoparagrafo"/>
    <w:rsid w:val="00130235"/>
  </w:style>
  <w:style w:type="character" w:customStyle="1" w:styleId="metaauthor">
    <w:name w:val="meta_author"/>
    <w:basedOn w:val="Carpredefinitoparagrafo"/>
    <w:rsid w:val="00130235"/>
  </w:style>
  <w:style w:type="character" w:customStyle="1" w:styleId="uficommentbody">
    <w:name w:val="uficommentbody"/>
    <w:basedOn w:val="Carpredefinitoparagrafo"/>
    <w:rsid w:val="00130235"/>
  </w:style>
  <w:style w:type="character" w:customStyle="1" w:styleId="Titolo2Carattere">
    <w:name w:val="Titolo 2 Carattere"/>
    <w:basedOn w:val="Carpredefinitoparagrafo"/>
    <w:link w:val="Titolo2"/>
    <w:rsid w:val="00130235"/>
    <w:rPr>
      <w:rFonts w:ascii="Trebuchet MS" w:eastAsiaTheme="minorEastAsia" w:hAnsi="Trebuchet MS" w:cs="Century Gothic"/>
      <w:color w:val="008000"/>
      <w:sz w:val="16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130235"/>
    <w:rPr>
      <w:rFonts w:ascii="Trebuchet MS" w:eastAsiaTheme="minorEastAsia" w:hAnsi="Trebuchet MS" w:cs="Century Gothic"/>
      <w:b/>
      <w:bCs w:val="0"/>
      <w:color w:val="008000"/>
      <w:sz w:val="22"/>
      <w:szCs w:val="22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130235"/>
    <w:rPr>
      <w:rFonts w:ascii="Times New Roman" w:eastAsiaTheme="minorEastAsia" w:hAnsi="Times New Roman" w:cs="Times New Roman"/>
      <w:b/>
      <w:bCs w:val="0"/>
      <w:sz w:val="28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30235"/>
    <w:rPr>
      <w:rFonts w:ascii="Times New Roman" w:eastAsiaTheme="minorEastAsia" w:hAnsi="Times New Roman" w:cs="Times New Roman"/>
      <w:b/>
      <w:bCs w:val="0"/>
      <w:color w:val="008000"/>
      <w:sz w:val="22"/>
      <w:szCs w:val="22"/>
      <w:lang w:eastAsia="it-IT"/>
    </w:rPr>
  </w:style>
  <w:style w:type="paragraph" w:styleId="Sommario1">
    <w:name w:val="toc 1"/>
    <w:basedOn w:val="Normale"/>
    <w:autoRedefine/>
    <w:uiPriority w:val="39"/>
    <w:semiHidden/>
    <w:unhideWhenUsed/>
    <w:rsid w:val="00130235"/>
    <w:pPr>
      <w:spacing w:after="0" w:line="240" w:lineRule="auto"/>
      <w:ind w:right="-2"/>
      <w:jc w:val="both"/>
    </w:pPr>
    <w:rPr>
      <w:rFonts w:ascii="Century Gothic" w:hAnsi="Century Gothic" w:cs="Times New Roman"/>
      <w:sz w:val="24"/>
      <w:szCs w:val="24"/>
      <w:lang w:eastAsia="it-IT"/>
    </w:rPr>
  </w:style>
  <w:style w:type="paragraph" w:styleId="Sommario3">
    <w:name w:val="toc 3"/>
    <w:basedOn w:val="Normale"/>
    <w:autoRedefine/>
    <w:uiPriority w:val="39"/>
    <w:semiHidden/>
    <w:unhideWhenUsed/>
    <w:rsid w:val="00130235"/>
    <w:pPr>
      <w:spacing w:after="0" w:line="240" w:lineRule="auto"/>
      <w:ind w:left="440"/>
      <w:jc w:val="both"/>
    </w:pPr>
    <w:rPr>
      <w:rFonts w:ascii="Times New Roman" w:hAnsi="Times New Roman" w:cs="Times New Roman"/>
      <w:sz w:val="24"/>
      <w:szCs w:val="24"/>
      <w:lang w:eastAsia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0235"/>
    <w:pPr>
      <w:spacing w:after="0" w:line="240" w:lineRule="auto"/>
      <w:jc w:val="both"/>
    </w:pPr>
    <w:rPr>
      <w:rFonts w:ascii="Times New Roman" w:hAnsi="Times New Roman" w:cs="Times New Roman"/>
      <w:sz w:val="24"/>
      <w:szCs w:val="24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0235"/>
    <w:rPr>
      <w:rFonts w:ascii="Times New Roman" w:eastAsiaTheme="minorEastAsia" w:hAnsi="Times New Roman" w:cs="Times New Roman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30235"/>
    <w:pPr>
      <w:spacing w:after="0" w:line="240" w:lineRule="auto"/>
      <w:jc w:val="both"/>
    </w:pPr>
    <w:rPr>
      <w:rFonts w:ascii="Times New Roman" w:hAnsi="Times New Roman" w:cs="Times New Roman"/>
      <w:sz w:val="24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30235"/>
    <w:pPr>
      <w:spacing w:after="0" w:line="240" w:lineRule="auto"/>
      <w:jc w:val="both"/>
    </w:pPr>
    <w:rPr>
      <w:rFonts w:ascii="Times New Roman" w:hAnsi="Times New Roman" w:cs="Times New Roman"/>
      <w:sz w:val="24"/>
      <w:szCs w:val="24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0235"/>
    <w:rPr>
      <w:vertAlign w:val="superscript"/>
    </w:rPr>
  </w:style>
  <w:style w:type="paragraph" w:styleId="Data">
    <w:name w:val="Date"/>
    <w:basedOn w:val="Normale"/>
    <w:link w:val="DataCarattere"/>
    <w:uiPriority w:val="99"/>
    <w:semiHidden/>
    <w:unhideWhenUsed/>
    <w:rsid w:val="00130235"/>
    <w:pPr>
      <w:spacing w:after="0" w:line="240" w:lineRule="auto"/>
      <w:jc w:val="both"/>
    </w:pPr>
    <w:rPr>
      <w:rFonts w:ascii="Century Gothic" w:hAnsi="Century Gothic" w:cs="Times New Roman"/>
      <w:sz w:val="24"/>
      <w:szCs w:val="24"/>
      <w:lang w:eastAsia="it-IT"/>
    </w:rPr>
  </w:style>
  <w:style w:type="character" w:customStyle="1" w:styleId="DataCarattere">
    <w:name w:val="Data Carattere"/>
    <w:basedOn w:val="Carpredefinitoparagrafo"/>
    <w:link w:val="Data"/>
    <w:uiPriority w:val="99"/>
    <w:semiHidden/>
    <w:rsid w:val="00130235"/>
    <w:rPr>
      <w:rFonts w:ascii="Trebuchet MS" w:eastAsiaTheme="minorEastAsia" w:hAnsi="Trebuchet MS" w:cs="Times New Roman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130235"/>
    <w:pPr>
      <w:spacing w:after="0" w:line="240" w:lineRule="auto"/>
      <w:ind w:left="480"/>
      <w:jc w:val="both"/>
    </w:pPr>
    <w:rPr>
      <w:rFonts w:ascii="Century Gothic" w:hAnsi="Century Gothic" w:cs="Times New Roman"/>
      <w:color w:val="FF0000"/>
      <w:sz w:val="18"/>
      <w:szCs w:val="18"/>
      <w:lang w:eastAsia="it-IT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130235"/>
    <w:pPr>
      <w:spacing w:after="0" w:line="240" w:lineRule="auto"/>
      <w:jc w:val="both"/>
    </w:pPr>
    <w:rPr>
      <w:rFonts w:ascii="Calibri" w:hAnsi="Calibri" w:cs="Times New Roman"/>
      <w:sz w:val="24"/>
      <w:szCs w:val="21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130235"/>
    <w:rPr>
      <w:rFonts w:ascii="Calibri" w:hAnsi="Calibri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235"/>
    <w:pPr>
      <w:spacing w:after="0" w:line="240" w:lineRule="auto"/>
      <w:jc w:val="both"/>
    </w:pPr>
    <w:rPr>
      <w:rFonts w:ascii="Tahoma" w:hAnsi="Tahoma" w:cs="Tahoma"/>
      <w:sz w:val="24"/>
      <w:szCs w:val="24"/>
      <w:lang w:eastAsia="it-IT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235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30235"/>
    <w:rPr>
      <w:rFonts w:ascii="Times New Roman" w:hAnsi="Times New Roman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essunaspaziatura">
    <w:name w:val="No Spacing"/>
    <w:basedOn w:val="Normale"/>
    <w:uiPriority w:val="1"/>
    <w:qFormat/>
    <w:rsid w:val="00130235"/>
    <w:pPr>
      <w:spacing w:after="0" w:line="240" w:lineRule="auto"/>
      <w:ind w:left="2160"/>
      <w:jc w:val="both"/>
    </w:pPr>
    <w:rPr>
      <w:rFonts w:ascii="Century Gothic" w:hAnsi="Century Gothic" w:cs="Times New Roman"/>
      <w:color w:val="0F243E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130235"/>
    <w:pPr>
      <w:spacing w:after="0" w:line="240" w:lineRule="auto"/>
      <w:ind w:left="720"/>
      <w:jc w:val="both"/>
    </w:pPr>
    <w:rPr>
      <w:rFonts w:ascii="Century Gothic" w:hAnsi="Century Gothic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577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pattichiari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ttichiari.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1506</Words>
  <Characters>8587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Mauro Novelli</dc:creator>
  <cp:lastModifiedBy>Elio</cp:lastModifiedBy>
  <cp:revision>5</cp:revision>
  <cp:lastPrinted>2013-10-08T07:36:00Z</cp:lastPrinted>
  <dcterms:created xsi:type="dcterms:W3CDTF">2013-10-08T15:31:00Z</dcterms:created>
  <dcterms:modified xsi:type="dcterms:W3CDTF">2013-10-09T08:49:00Z</dcterms:modified>
</cp:coreProperties>
</file>