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BE" w:rsidRDefault="002F6CBE" w:rsidP="00290168">
      <w:pPr>
        <w:pStyle w:val="Nessunaspaziatura"/>
        <w:jc w:val="center"/>
        <w:rPr>
          <w:lang w:eastAsia="it-IT"/>
        </w:rPr>
      </w:pPr>
      <w:r>
        <w:rPr>
          <w:lang w:eastAsia="it-IT"/>
        </w:rPr>
        <w:t>COMUNICATO STAMPA</w:t>
      </w:r>
    </w:p>
    <w:p w:rsidR="00290168" w:rsidRDefault="00290168" w:rsidP="00290168">
      <w:pPr>
        <w:pStyle w:val="Nessunaspaziatura"/>
        <w:rPr>
          <w:lang w:eastAsia="it-IT"/>
        </w:rPr>
      </w:pPr>
    </w:p>
    <w:p w:rsidR="002F6CBE" w:rsidRDefault="00290168" w:rsidP="00290168">
      <w:pPr>
        <w:pStyle w:val="Nessunaspaziatura"/>
        <w:jc w:val="center"/>
        <w:rPr>
          <w:lang w:eastAsia="it-IT"/>
        </w:rPr>
      </w:pPr>
      <w:r>
        <w:rPr>
          <w:lang w:eastAsia="it-IT"/>
        </w:rPr>
        <w:t>DEBITO PUBBLICO:  CON DIMINUZIONE DI 100 PUNTI DI SPREAD, SI POTREBBE RISPARMIARE 18 MILIARDI DI EURO A REGIME SU SPESA PER INTERESSI, FISSATA A 83.949 MLD 2013; A  86.087 MLD EURO NEL 2014.</w:t>
      </w:r>
    </w:p>
    <w:p w:rsidR="00290168" w:rsidRDefault="00290168" w:rsidP="00290168">
      <w:pPr>
        <w:pStyle w:val="Nessunaspaziatura"/>
        <w:jc w:val="center"/>
        <w:rPr>
          <w:lang w:eastAsia="it-IT"/>
        </w:rPr>
      </w:pPr>
      <w:r>
        <w:rPr>
          <w:lang w:eastAsia="it-IT"/>
        </w:rPr>
        <w:t>ADUSBEF E FEDERCONSUMATORI AUSPICANO CHE COMMISSARIO FMI COTTARELLI,TAGLI SPESA PUBBLICA.</w:t>
      </w:r>
    </w:p>
    <w:p w:rsidR="00290168" w:rsidRDefault="00290168" w:rsidP="00290168">
      <w:pPr>
        <w:pStyle w:val="Nessunaspaziatura"/>
        <w:jc w:val="center"/>
        <w:rPr>
          <w:lang w:eastAsia="it-IT"/>
        </w:rPr>
      </w:pPr>
    </w:p>
    <w:p w:rsidR="00F3585F" w:rsidRPr="00A718C1" w:rsidRDefault="004C41E2" w:rsidP="00F3585F">
      <w:pPr>
        <w:pStyle w:val="Nessunaspaziatura"/>
        <w:jc w:val="both"/>
        <w:rPr>
          <w:sz w:val="24"/>
          <w:szCs w:val="24"/>
          <w:lang w:eastAsia="it-IT"/>
        </w:rPr>
      </w:pPr>
      <w:r w:rsidRPr="00A718C1">
        <w:rPr>
          <w:sz w:val="24"/>
          <w:szCs w:val="24"/>
          <w:lang w:eastAsia="it-IT"/>
        </w:rPr>
        <w:t xml:space="preserve">    </w:t>
      </w:r>
      <w:r w:rsidR="00290168" w:rsidRPr="00A718C1">
        <w:rPr>
          <w:sz w:val="24"/>
          <w:szCs w:val="24"/>
          <w:lang w:eastAsia="it-IT"/>
        </w:rPr>
        <w:t xml:space="preserve">Il debito pubblico attestato a 2.072,863 miliardi di euro a luglio 2013, </w:t>
      </w:r>
      <w:r w:rsidRPr="00A718C1">
        <w:rPr>
          <w:sz w:val="24"/>
          <w:szCs w:val="24"/>
          <w:lang w:eastAsia="it-IT"/>
        </w:rPr>
        <w:t xml:space="preserve">il cui gravame sulle spalle di ogni italiano è di 34.800 euro, aumentato di 84,2 miliardi  di euro nei primi sette mesi del 2013 (tassa occulta di 1.412 euro da gennaio a luglio 2013 per ognuno dei 59,6 milioni di residenti che si aggiunge alle altre stangate fiscali e tariffarie), che costa 83.949 milioni di euro nel 2013 di soli interessi, che cresceranno a 86.087 euro nel 2014, potrebbe essere ridotto </w:t>
      </w:r>
      <w:r w:rsidR="00F3585F" w:rsidRPr="00A718C1">
        <w:rPr>
          <w:sz w:val="24"/>
          <w:szCs w:val="24"/>
          <w:lang w:eastAsia="it-IT"/>
        </w:rPr>
        <w:t xml:space="preserve">dal commissario del FMI Cottarelli, </w:t>
      </w:r>
      <w:r w:rsidRPr="00A718C1">
        <w:rPr>
          <w:sz w:val="24"/>
          <w:szCs w:val="24"/>
          <w:lang w:eastAsia="it-IT"/>
        </w:rPr>
        <w:t>con una politica di tagli alla spesa pubblica pari a 807.618</w:t>
      </w:r>
      <w:r w:rsidR="00F3585F" w:rsidRPr="00A718C1">
        <w:rPr>
          <w:sz w:val="24"/>
          <w:szCs w:val="24"/>
          <w:lang w:eastAsia="it-IT"/>
        </w:rPr>
        <w:t>; a 812.110 nel 2014; che arriverà a 828.306 milioni nel 2015.</w:t>
      </w:r>
    </w:p>
    <w:p w:rsidR="00BC1F9A" w:rsidRPr="00A718C1" w:rsidRDefault="00F3585F" w:rsidP="00A718C1">
      <w:pPr>
        <w:pStyle w:val="Nessunaspaziatura"/>
        <w:jc w:val="both"/>
        <w:rPr>
          <w:sz w:val="24"/>
          <w:szCs w:val="24"/>
          <w:lang w:eastAsia="it-IT"/>
        </w:rPr>
      </w:pPr>
      <w:r w:rsidRPr="00A718C1">
        <w:rPr>
          <w:sz w:val="24"/>
          <w:szCs w:val="24"/>
          <w:lang w:eastAsia="it-IT"/>
        </w:rPr>
        <w:t xml:space="preserve">    Anche il fantasma dello spread (la differenza tra i rendimenti dei  titoli di Stato italiani ed il </w:t>
      </w:r>
      <w:proofErr w:type="spellStart"/>
      <w:r w:rsidRPr="00A718C1">
        <w:rPr>
          <w:sz w:val="24"/>
          <w:szCs w:val="24"/>
          <w:lang w:eastAsia="it-IT"/>
        </w:rPr>
        <w:t>Bund</w:t>
      </w:r>
      <w:proofErr w:type="spellEnd"/>
      <w:r w:rsidRPr="00A718C1">
        <w:rPr>
          <w:sz w:val="24"/>
          <w:szCs w:val="24"/>
          <w:lang w:eastAsia="it-IT"/>
        </w:rPr>
        <w:t xml:space="preserve"> tedesco), ieri fissato a 247 punti base con un rendimento dei BTP decennali pari al 4,31%, potrebbe contribuire alla riduzione del debito, posto che ogni 10 punti di riduzione sulla massa del debito a regime, potrebbe valere 1,8 miliardi di euro  sui titoli di stato circolanti (quindi 18 miliardi di euro ogni cento punti di riduzione)</w:t>
      </w:r>
      <w:r w:rsidR="00AF5D7B">
        <w:rPr>
          <w:sz w:val="24"/>
          <w:szCs w:val="24"/>
          <w:lang w:eastAsia="it-IT"/>
        </w:rPr>
        <w:t>,</w:t>
      </w:r>
      <w:r w:rsidRPr="00A718C1">
        <w:rPr>
          <w:sz w:val="24"/>
          <w:szCs w:val="24"/>
          <w:lang w:eastAsia="it-IT"/>
        </w:rPr>
        <w:t xml:space="preserve"> </w:t>
      </w:r>
      <w:r w:rsidR="00A718C1" w:rsidRPr="00A718C1">
        <w:rPr>
          <w:sz w:val="24"/>
          <w:szCs w:val="24"/>
          <w:lang w:eastAsia="it-IT"/>
        </w:rPr>
        <w:t>che al 30 settembre ammontavano a 1.723,760 miliardi di euro, con una vita media di 6,44 anni ed un importo da collocare sui mercati di oltre 400 miliardi di euro.</w:t>
      </w:r>
    </w:p>
    <w:p w:rsidR="00A718C1" w:rsidRPr="00BC1F9A" w:rsidRDefault="00A718C1" w:rsidP="00A718C1">
      <w:pPr>
        <w:pStyle w:val="Nessunaspaziatura"/>
        <w:jc w:val="both"/>
        <w:rPr>
          <w:rFonts w:ascii="default -" w:eastAsia="Times New Roman" w:hAnsi="default -" w:cs="Lucida Sans Unicode"/>
          <w:color w:val="5F5F5F"/>
          <w:sz w:val="21"/>
          <w:szCs w:val="21"/>
          <w:lang w:eastAsia="it-IT"/>
        </w:rPr>
      </w:pPr>
    </w:p>
    <w:tbl>
      <w:tblPr>
        <w:tblW w:w="5000" w:type="pct"/>
        <w:tblCellSpacing w:w="0" w:type="dxa"/>
        <w:tblBorders>
          <w:top w:val="single" w:sz="6" w:space="0" w:color="E5E5E5"/>
          <w:left w:val="single" w:sz="6" w:space="0" w:color="E5E5E5"/>
          <w:bottom w:val="single" w:sz="6" w:space="0" w:color="E5E5E5"/>
          <w:right w:val="single" w:sz="6" w:space="0" w:color="E5E5E5"/>
        </w:tblBorders>
        <w:tblCellMar>
          <w:top w:w="60" w:type="dxa"/>
          <w:left w:w="60" w:type="dxa"/>
          <w:bottom w:w="60" w:type="dxa"/>
          <w:right w:w="60" w:type="dxa"/>
        </w:tblCellMar>
        <w:tblLook w:val="04A0" w:firstRow="1" w:lastRow="0" w:firstColumn="1" w:lastColumn="0" w:noHBand="0" w:noVBand="1"/>
      </w:tblPr>
      <w:tblGrid>
        <w:gridCol w:w="2016"/>
        <w:gridCol w:w="2835"/>
        <w:gridCol w:w="2850"/>
        <w:gridCol w:w="2567"/>
      </w:tblGrid>
      <w:tr w:rsidR="00BC1F9A" w:rsidRPr="00BC1F9A" w:rsidTr="002F6CBE">
        <w:trPr>
          <w:trHeight w:val="624"/>
          <w:tblCellSpacing w:w="0" w:type="dxa"/>
        </w:trPr>
        <w:tc>
          <w:tcPr>
            <w:tcW w:w="2016"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vAlign w:val="cente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b/>
                <w:bCs/>
                <w:color w:val="5F5F5F"/>
                <w:sz w:val="16"/>
                <w:szCs w:val="16"/>
                <w:lang w:eastAsia="it-IT"/>
              </w:rPr>
              <w:t>Anno</w:t>
            </w:r>
          </w:p>
        </w:tc>
        <w:tc>
          <w:tcPr>
            <w:tcW w:w="2835"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vAlign w:val="cente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b/>
                <w:bCs/>
                <w:color w:val="5F5F5F"/>
                <w:sz w:val="16"/>
                <w:szCs w:val="16"/>
                <w:lang w:eastAsia="it-IT"/>
              </w:rPr>
              <w:t>Importo collocato per anno</w:t>
            </w:r>
            <w:r w:rsidR="002F6CBE" w:rsidRPr="002F6CBE">
              <w:rPr>
                <w:rFonts w:ascii="Helvetica" w:eastAsia="Times New Roman" w:hAnsi="Helvetica" w:cs="Helvetica"/>
                <w:b/>
                <w:bCs/>
                <w:color w:val="5F5F5F"/>
                <w:sz w:val="16"/>
                <w:szCs w:val="16"/>
                <w:lang w:eastAsia="it-IT"/>
              </w:rPr>
              <w:t xml:space="preserve"> </w:t>
            </w:r>
          </w:p>
        </w:tc>
        <w:tc>
          <w:tcPr>
            <w:tcW w:w="2850"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vAlign w:val="cente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b/>
                <w:bCs/>
                <w:color w:val="5F5F5F"/>
                <w:sz w:val="16"/>
                <w:szCs w:val="16"/>
                <w:lang w:eastAsia="it-IT"/>
              </w:rPr>
              <w:t>Importo medio per asta</w:t>
            </w:r>
          </w:p>
        </w:tc>
        <w:tc>
          <w:tcPr>
            <w:tcW w:w="2567"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vAlign w:val="cente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b/>
                <w:bCs/>
                <w:color w:val="5F5F5F"/>
                <w:sz w:val="16"/>
                <w:szCs w:val="16"/>
                <w:lang w:eastAsia="it-IT"/>
              </w:rPr>
              <w:t>Importo medio per giorno di asta</w:t>
            </w:r>
          </w:p>
        </w:tc>
      </w:tr>
      <w:tr w:rsidR="00BC1F9A" w:rsidRPr="00BC1F9A" w:rsidTr="002F6CBE">
        <w:trPr>
          <w:tblCellSpacing w:w="0" w:type="dxa"/>
        </w:trPr>
        <w:tc>
          <w:tcPr>
            <w:tcW w:w="2016"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b/>
                <w:bCs/>
                <w:color w:val="5F5F5F"/>
                <w:sz w:val="16"/>
                <w:szCs w:val="16"/>
                <w:lang w:eastAsia="it-IT"/>
              </w:rPr>
              <w:t>2008</w:t>
            </w:r>
          </w:p>
        </w:tc>
        <w:tc>
          <w:tcPr>
            <w:tcW w:w="2835"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461,57</w:t>
            </w:r>
          </w:p>
        </w:tc>
        <w:tc>
          <w:tcPr>
            <w:tcW w:w="2850"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4,53</w:t>
            </w:r>
          </w:p>
        </w:tc>
        <w:tc>
          <w:tcPr>
            <w:tcW w:w="2567"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5,77</w:t>
            </w:r>
          </w:p>
        </w:tc>
      </w:tr>
      <w:tr w:rsidR="00BC1F9A" w:rsidRPr="00BC1F9A" w:rsidTr="002F6CBE">
        <w:trPr>
          <w:tblCellSpacing w:w="0" w:type="dxa"/>
        </w:trPr>
        <w:tc>
          <w:tcPr>
            <w:tcW w:w="2016"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b/>
                <w:bCs/>
                <w:color w:val="5F5F5F"/>
                <w:sz w:val="16"/>
                <w:szCs w:val="16"/>
                <w:lang w:eastAsia="it-IT"/>
              </w:rPr>
              <w:t>2009</w:t>
            </w:r>
          </w:p>
        </w:tc>
        <w:tc>
          <w:tcPr>
            <w:tcW w:w="2835"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515,53</w:t>
            </w:r>
          </w:p>
        </w:tc>
        <w:tc>
          <w:tcPr>
            <w:tcW w:w="2850"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2,17</w:t>
            </w:r>
          </w:p>
        </w:tc>
        <w:tc>
          <w:tcPr>
            <w:tcW w:w="2567"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5,93</w:t>
            </w:r>
          </w:p>
        </w:tc>
      </w:tr>
      <w:tr w:rsidR="00BC1F9A" w:rsidRPr="00BC1F9A" w:rsidTr="002F6CBE">
        <w:trPr>
          <w:tblCellSpacing w:w="0" w:type="dxa"/>
        </w:trPr>
        <w:tc>
          <w:tcPr>
            <w:tcW w:w="2016"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b/>
                <w:bCs/>
                <w:color w:val="5F5F5F"/>
                <w:sz w:val="16"/>
                <w:szCs w:val="16"/>
                <w:lang w:eastAsia="it-IT"/>
              </w:rPr>
              <w:t>2010</w:t>
            </w:r>
          </w:p>
        </w:tc>
        <w:tc>
          <w:tcPr>
            <w:tcW w:w="2835"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448,66</w:t>
            </w:r>
          </w:p>
        </w:tc>
        <w:tc>
          <w:tcPr>
            <w:tcW w:w="2850"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2,34</w:t>
            </w:r>
          </w:p>
        </w:tc>
        <w:tc>
          <w:tcPr>
            <w:tcW w:w="2567"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5,41</w:t>
            </w:r>
          </w:p>
        </w:tc>
      </w:tr>
      <w:tr w:rsidR="00BC1F9A" w:rsidRPr="00BC1F9A" w:rsidTr="002F6CBE">
        <w:trPr>
          <w:trHeight w:val="509"/>
          <w:tblCellSpacing w:w="0" w:type="dxa"/>
        </w:trPr>
        <w:tc>
          <w:tcPr>
            <w:tcW w:w="2016"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b/>
                <w:bCs/>
                <w:color w:val="5F5F5F"/>
                <w:sz w:val="16"/>
                <w:szCs w:val="16"/>
                <w:lang w:eastAsia="it-IT"/>
              </w:rPr>
              <w:t>2011</w:t>
            </w:r>
          </w:p>
        </w:tc>
        <w:tc>
          <w:tcPr>
            <w:tcW w:w="2835"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415,41</w:t>
            </w:r>
          </w:p>
        </w:tc>
        <w:tc>
          <w:tcPr>
            <w:tcW w:w="2850"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2,11</w:t>
            </w:r>
          </w:p>
        </w:tc>
        <w:tc>
          <w:tcPr>
            <w:tcW w:w="2567"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4,89</w:t>
            </w:r>
          </w:p>
        </w:tc>
      </w:tr>
      <w:tr w:rsidR="00BC1F9A" w:rsidRPr="00BC1F9A" w:rsidTr="002F6CBE">
        <w:trPr>
          <w:tblCellSpacing w:w="0" w:type="dxa"/>
        </w:trPr>
        <w:tc>
          <w:tcPr>
            <w:tcW w:w="2016"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b/>
                <w:bCs/>
                <w:color w:val="5F5F5F"/>
                <w:sz w:val="16"/>
                <w:szCs w:val="16"/>
                <w:lang w:eastAsia="it-IT"/>
              </w:rPr>
              <w:t>2012</w:t>
            </w:r>
          </w:p>
        </w:tc>
        <w:tc>
          <w:tcPr>
            <w:tcW w:w="2835"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444,33</w:t>
            </w:r>
          </w:p>
        </w:tc>
        <w:tc>
          <w:tcPr>
            <w:tcW w:w="2850"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1,99</w:t>
            </w:r>
          </w:p>
        </w:tc>
        <w:tc>
          <w:tcPr>
            <w:tcW w:w="2567"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5,77</w:t>
            </w:r>
          </w:p>
        </w:tc>
      </w:tr>
      <w:tr w:rsidR="00BC1F9A" w:rsidRPr="00BC1F9A" w:rsidTr="002F6CBE">
        <w:trPr>
          <w:tblCellSpacing w:w="0" w:type="dxa"/>
        </w:trPr>
        <w:tc>
          <w:tcPr>
            <w:tcW w:w="2016"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b/>
                <w:bCs/>
                <w:color w:val="5F5F5F"/>
                <w:sz w:val="16"/>
                <w:szCs w:val="16"/>
                <w:lang w:eastAsia="it-IT"/>
              </w:rPr>
              <w:t>Media</w:t>
            </w:r>
          </w:p>
        </w:tc>
        <w:tc>
          <w:tcPr>
            <w:tcW w:w="2835"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457,10</w:t>
            </w:r>
          </w:p>
        </w:tc>
        <w:tc>
          <w:tcPr>
            <w:tcW w:w="2850"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2,63</w:t>
            </w:r>
          </w:p>
        </w:tc>
        <w:tc>
          <w:tcPr>
            <w:tcW w:w="2567" w:type="dxa"/>
            <w:tcBorders>
              <w:top w:val="outset" w:sz="6" w:space="0" w:color="E5E5E5"/>
              <w:left w:val="outset" w:sz="6" w:space="0" w:color="E5E5E5"/>
              <w:bottom w:val="outset" w:sz="6" w:space="0" w:color="E5E5E5"/>
              <w:right w:val="single" w:sz="6" w:space="0" w:color="E5E5E5"/>
            </w:tcBorders>
            <w:tcMar>
              <w:top w:w="135" w:type="dxa"/>
              <w:left w:w="300" w:type="dxa"/>
              <w:bottom w:w="135" w:type="dxa"/>
              <w:right w:w="300" w:type="dxa"/>
            </w:tcMar>
            <w:hideMark/>
          </w:tcPr>
          <w:p w:rsidR="00BC1F9A" w:rsidRPr="00BC1F9A" w:rsidRDefault="00BC1F9A" w:rsidP="00E61ECC">
            <w:pPr>
              <w:spacing w:after="0" w:line="278" w:lineRule="atLeast"/>
              <w:jc w:val="center"/>
              <w:rPr>
                <w:rFonts w:ascii="default -" w:eastAsia="Times New Roman" w:hAnsi="default -" w:cs="Lucida Sans Unicode"/>
                <w:color w:val="5F5F5F"/>
                <w:sz w:val="16"/>
                <w:szCs w:val="16"/>
                <w:lang w:eastAsia="it-IT"/>
              </w:rPr>
            </w:pPr>
            <w:r w:rsidRPr="00BC1F9A">
              <w:rPr>
                <w:rFonts w:ascii="Helvetica" w:eastAsia="Times New Roman" w:hAnsi="Helvetica" w:cs="Helvetica"/>
                <w:color w:val="5F5F5F"/>
                <w:sz w:val="16"/>
                <w:szCs w:val="16"/>
                <w:lang w:eastAsia="it-IT"/>
              </w:rPr>
              <w:t>5,55</w:t>
            </w:r>
          </w:p>
        </w:tc>
      </w:tr>
    </w:tbl>
    <w:p w:rsidR="005A1CB7" w:rsidRDefault="002F6CBE">
      <w:pPr>
        <w:rPr>
          <w:rFonts w:ascii="default -" w:eastAsia="Times New Roman" w:hAnsi="default -" w:cs="Lucida Sans Unicode"/>
          <w:color w:val="5F5F5F"/>
          <w:sz w:val="21"/>
          <w:szCs w:val="21"/>
          <w:lang w:eastAsia="it-IT"/>
        </w:rPr>
      </w:pPr>
      <w:r w:rsidRPr="002F6CBE">
        <w:rPr>
          <w:rFonts w:ascii="default -" w:eastAsia="Times New Roman" w:hAnsi="default -" w:cs="Lucida Sans Unicode"/>
          <w:color w:val="5F5F5F"/>
          <w:sz w:val="21"/>
          <w:szCs w:val="21"/>
          <w:lang w:eastAsia="it-IT"/>
        </w:rPr>
        <w:t xml:space="preserve">La tabella riassume </w:t>
      </w:r>
      <w:r>
        <w:rPr>
          <w:rFonts w:ascii="default -" w:eastAsia="Times New Roman" w:hAnsi="default -" w:cs="Lucida Sans Unicode"/>
          <w:color w:val="5F5F5F"/>
          <w:sz w:val="21"/>
          <w:szCs w:val="21"/>
          <w:lang w:eastAsia="it-IT"/>
        </w:rPr>
        <w:t>l’ammontare</w:t>
      </w:r>
      <w:r w:rsidRPr="002F6CBE">
        <w:rPr>
          <w:rFonts w:ascii="default -" w:eastAsia="Times New Roman" w:hAnsi="default -" w:cs="Lucida Sans Unicode"/>
          <w:color w:val="5F5F5F"/>
          <w:sz w:val="21"/>
          <w:szCs w:val="21"/>
          <w:lang w:eastAsia="it-IT"/>
        </w:rPr>
        <w:t xml:space="preserve"> collocato </w:t>
      </w:r>
      <w:r>
        <w:rPr>
          <w:rFonts w:ascii="default -" w:eastAsia="Times New Roman" w:hAnsi="default -" w:cs="Lucida Sans Unicode"/>
          <w:color w:val="5F5F5F"/>
          <w:sz w:val="21"/>
          <w:szCs w:val="21"/>
          <w:lang w:eastAsia="it-IT"/>
        </w:rPr>
        <w:t xml:space="preserve">negli </w:t>
      </w:r>
      <w:r w:rsidRPr="002F6CBE">
        <w:rPr>
          <w:rFonts w:ascii="default -" w:eastAsia="Times New Roman" w:hAnsi="default -" w:cs="Lucida Sans Unicode"/>
          <w:color w:val="5F5F5F"/>
          <w:sz w:val="21"/>
          <w:szCs w:val="21"/>
          <w:lang w:eastAsia="it-IT"/>
        </w:rPr>
        <w:t>ultimi 5 anni e il valore medio di emissione per asta (in miliardi di euro</w:t>
      </w:r>
      <w:r>
        <w:rPr>
          <w:rFonts w:ascii="default -" w:eastAsia="Times New Roman" w:hAnsi="default -" w:cs="Lucida Sans Unicode"/>
          <w:color w:val="5F5F5F"/>
          <w:sz w:val="21"/>
          <w:szCs w:val="21"/>
          <w:lang w:eastAsia="it-IT"/>
        </w:rPr>
        <w:t>)</w:t>
      </w:r>
      <w:r w:rsidRPr="002F6CBE">
        <w:rPr>
          <w:rFonts w:ascii="default -" w:eastAsia="Times New Roman" w:hAnsi="default -" w:cs="Lucida Sans Unicode"/>
          <w:color w:val="5F5F5F"/>
          <w:sz w:val="21"/>
          <w:szCs w:val="21"/>
          <w:lang w:eastAsia="it-IT"/>
        </w:rPr>
        <w:t>:</w:t>
      </w:r>
      <w:r>
        <w:rPr>
          <w:rFonts w:ascii="default -" w:eastAsia="Times New Roman" w:hAnsi="default -" w:cs="Lucida Sans Unicode"/>
          <w:color w:val="5F5F5F"/>
          <w:sz w:val="21"/>
          <w:szCs w:val="21"/>
          <w:lang w:eastAsia="it-IT"/>
        </w:rPr>
        <w:t xml:space="preserve"> Fonte </w:t>
      </w:r>
      <w:hyperlink r:id="rId6" w:history="1">
        <w:r w:rsidR="00416EB4" w:rsidRPr="00B2073D">
          <w:rPr>
            <w:rStyle w:val="Collegamentoipertestuale"/>
            <w:rFonts w:ascii="default -" w:eastAsia="Times New Roman" w:hAnsi="default -" w:cs="Lucida Sans Unicode"/>
            <w:sz w:val="21"/>
            <w:szCs w:val="21"/>
            <w:lang w:eastAsia="it-IT"/>
          </w:rPr>
          <w:t>www.bankitalia.it</w:t>
        </w:r>
      </w:hyperlink>
      <w:r w:rsidR="00416EB4">
        <w:rPr>
          <w:rFonts w:ascii="default -" w:eastAsia="Times New Roman" w:hAnsi="default -" w:cs="Lucida Sans Unicode"/>
          <w:color w:val="5F5F5F"/>
          <w:sz w:val="21"/>
          <w:szCs w:val="21"/>
          <w:lang w:eastAsia="it-IT"/>
        </w:rPr>
        <w:t xml:space="preserve"> </w:t>
      </w:r>
      <w:r>
        <w:rPr>
          <w:rFonts w:ascii="default -" w:eastAsia="Times New Roman" w:hAnsi="default -" w:cs="Lucida Sans Unicode"/>
          <w:color w:val="5F5F5F"/>
          <w:sz w:val="21"/>
          <w:szCs w:val="21"/>
          <w:lang w:eastAsia="it-IT"/>
        </w:rPr>
        <w:t xml:space="preserve">  </w:t>
      </w:r>
    </w:p>
    <w:p w:rsidR="00E61ECC" w:rsidRDefault="00E61ECC">
      <w:pPr>
        <w:rPr>
          <w:rFonts w:ascii="default -" w:eastAsia="Times New Roman" w:hAnsi="default -" w:cs="Lucida Sans Unicode"/>
          <w:color w:val="5F5F5F"/>
          <w:sz w:val="21"/>
          <w:szCs w:val="21"/>
          <w:lang w:eastAsia="it-IT"/>
        </w:rPr>
      </w:pPr>
    </w:p>
    <w:p w:rsidR="00E61ECC" w:rsidRDefault="00E61ECC">
      <w:pPr>
        <w:rPr>
          <w:rFonts w:ascii="default -" w:eastAsia="Times New Roman" w:hAnsi="default -" w:cs="Lucida Sans Unicode"/>
          <w:color w:val="5F5F5F"/>
          <w:sz w:val="21"/>
          <w:szCs w:val="21"/>
          <w:lang w:eastAsia="it-IT"/>
        </w:rPr>
      </w:pPr>
    </w:p>
    <w:p w:rsidR="00E61ECC" w:rsidRDefault="00E61ECC">
      <w:pPr>
        <w:rPr>
          <w:rFonts w:ascii="default -" w:eastAsia="Times New Roman" w:hAnsi="default -" w:cs="Lucida Sans Unicode"/>
          <w:color w:val="5F5F5F"/>
          <w:sz w:val="21"/>
          <w:szCs w:val="21"/>
          <w:lang w:eastAsia="it-IT"/>
        </w:rPr>
      </w:pPr>
    </w:p>
    <w:p w:rsidR="00E61ECC" w:rsidRDefault="00E61ECC">
      <w:pPr>
        <w:rPr>
          <w:rFonts w:ascii="default -" w:eastAsia="Times New Roman" w:hAnsi="default -" w:cs="Lucida Sans Unicode"/>
          <w:color w:val="5F5F5F"/>
          <w:sz w:val="21"/>
          <w:szCs w:val="21"/>
          <w:lang w:eastAsia="it-IT"/>
        </w:rPr>
      </w:pPr>
    </w:p>
    <w:p w:rsidR="00E61ECC" w:rsidRDefault="00E61ECC">
      <w:pPr>
        <w:rPr>
          <w:rFonts w:ascii="default -" w:eastAsia="Times New Roman" w:hAnsi="default -" w:cs="Lucida Sans Unicode"/>
          <w:color w:val="5F5F5F"/>
          <w:sz w:val="21"/>
          <w:szCs w:val="21"/>
          <w:lang w:eastAsia="it-IT"/>
        </w:rPr>
      </w:pPr>
    </w:p>
    <w:p w:rsidR="00E61ECC" w:rsidRDefault="00E61ECC">
      <w:pPr>
        <w:rPr>
          <w:rFonts w:ascii="default -" w:eastAsia="Times New Roman" w:hAnsi="default -" w:cs="Lucida Sans Unicode"/>
          <w:color w:val="5F5F5F"/>
          <w:sz w:val="21"/>
          <w:szCs w:val="21"/>
          <w:lang w:eastAsia="it-IT"/>
        </w:rPr>
      </w:pPr>
    </w:p>
    <w:tbl>
      <w:tblPr>
        <w:tblW w:w="0" w:type="auto"/>
        <w:tblBorders>
          <w:top w:val="nil"/>
          <w:left w:val="nil"/>
          <w:bottom w:val="nil"/>
          <w:right w:val="nil"/>
        </w:tblBorders>
        <w:tblLayout w:type="fixed"/>
        <w:tblLook w:val="0000" w:firstRow="0" w:lastRow="0" w:firstColumn="0" w:lastColumn="0" w:noHBand="0" w:noVBand="0"/>
      </w:tblPr>
      <w:tblGrid>
        <w:gridCol w:w="2735"/>
        <w:gridCol w:w="2735"/>
        <w:gridCol w:w="2736"/>
      </w:tblGrid>
      <w:tr w:rsidR="00822816">
        <w:trPr>
          <w:trHeight w:val="136"/>
        </w:trPr>
        <w:tc>
          <w:tcPr>
            <w:tcW w:w="8206" w:type="dxa"/>
            <w:gridSpan w:val="3"/>
          </w:tcPr>
          <w:p w:rsidR="00822816" w:rsidRDefault="00822816">
            <w:pPr>
              <w:pStyle w:val="Default"/>
              <w:rPr>
                <w:sz w:val="28"/>
                <w:szCs w:val="28"/>
              </w:rPr>
            </w:pPr>
            <w:r>
              <w:lastRenderedPageBreak/>
              <w:t xml:space="preserve"> </w:t>
            </w:r>
            <w:r>
              <w:rPr>
                <w:b/>
                <w:bCs/>
                <w:sz w:val="28"/>
                <w:szCs w:val="28"/>
              </w:rPr>
              <w:t>COMPOSIZIONE DEI TITOLI DI STATO</w:t>
            </w:r>
          </w:p>
        </w:tc>
      </w:tr>
      <w:tr w:rsidR="00822816">
        <w:trPr>
          <w:trHeight w:val="136"/>
        </w:trPr>
        <w:tc>
          <w:tcPr>
            <w:tcW w:w="8206" w:type="dxa"/>
            <w:gridSpan w:val="3"/>
          </w:tcPr>
          <w:p w:rsidR="00822816" w:rsidRDefault="00822816">
            <w:pPr>
              <w:pStyle w:val="Default"/>
              <w:rPr>
                <w:sz w:val="28"/>
                <w:szCs w:val="28"/>
              </w:rPr>
            </w:pPr>
            <w:r>
              <w:rPr>
                <w:b/>
                <w:bCs/>
                <w:sz w:val="28"/>
                <w:szCs w:val="28"/>
              </w:rPr>
              <w:t>in circolazione al 30 Settembre 2013</w:t>
            </w:r>
          </w:p>
        </w:tc>
      </w:tr>
      <w:tr w:rsidR="00822816" w:rsidTr="000D6F9B">
        <w:trPr>
          <w:trHeight w:val="116"/>
        </w:trPr>
        <w:tc>
          <w:tcPr>
            <w:tcW w:w="2735" w:type="dxa"/>
          </w:tcPr>
          <w:p w:rsidR="00822816" w:rsidRDefault="00822816">
            <w:pPr>
              <w:pStyle w:val="Default"/>
              <w:rPr>
                <w:sz w:val="23"/>
                <w:szCs w:val="23"/>
              </w:rPr>
            </w:pPr>
            <w:r>
              <w:rPr>
                <w:b/>
                <w:bCs/>
                <w:sz w:val="23"/>
                <w:szCs w:val="23"/>
              </w:rPr>
              <w:t>Tipologia titolo</w:t>
            </w:r>
          </w:p>
        </w:tc>
        <w:tc>
          <w:tcPr>
            <w:tcW w:w="2735" w:type="dxa"/>
          </w:tcPr>
          <w:p w:rsidR="00822816" w:rsidRDefault="00822816">
            <w:pPr>
              <w:pStyle w:val="Default"/>
              <w:rPr>
                <w:sz w:val="23"/>
                <w:szCs w:val="23"/>
              </w:rPr>
            </w:pPr>
            <w:r>
              <w:rPr>
                <w:b/>
                <w:bCs/>
                <w:sz w:val="23"/>
                <w:szCs w:val="23"/>
              </w:rPr>
              <w:t>mln. €uro</w:t>
            </w:r>
          </w:p>
        </w:tc>
        <w:tc>
          <w:tcPr>
            <w:tcW w:w="2736" w:type="dxa"/>
          </w:tcPr>
          <w:p w:rsidR="00822816" w:rsidRDefault="00822816">
            <w:pPr>
              <w:pStyle w:val="Default"/>
              <w:rPr>
                <w:sz w:val="23"/>
                <w:szCs w:val="23"/>
              </w:rPr>
            </w:pPr>
            <w:r>
              <w:rPr>
                <w:b/>
                <w:bCs/>
                <w:sz w:val="23"/>
                <w:szCs w:val="23"/>
              </w:rPr>
              <w:t>%</w:t>
            </w:r>
          </w:p>
        </w:tc>
      </w:tr>
      <w:tr w:rsidR="00822816" w:rsidTr="000D6F9B">
        <w:trPr>
          <w:trHeight w:val="116"/>
        </w:trPr>
        <w:tc>
          <w:tcPr>
            <w:tcW w:w="2735" w:type="dxa"/>
          </w:tcPr>
          <w:p w:rsidR="00822816" w:rsidRDefault="00822816">
            <w:pPr>
              <w:pStyle w:val="Default"/>
              <w:rPr>
                <w:sz w:val="23"/>
                <w:szCs w:val="23"/>
              </w:rPr>
            </w:pPr>
            <w:r>
              <w:rPr>
                <w:b/>
                <w:bCs/>
                <w:sz w:val="23"/>
                <w:szCs w:val="23"/>
              </w:rPr>
              <w:t>BOT</w:t>
            </w:r>
          </w:p>
        </w:tc>
        <w:tc>
          <w:tcPr>
            <w:tcW w:w="2735" w:type="dxa"/>
          </w:tcPr>
          <w:p w:rsidR="00822816" w:rsidRDefault="00822816">
            <w:pPr>
              <w:pStyle w:val="Default"/>
              <w:rPr>
                <w:sz w:val="23"/>
                <w:szCs w:val="23"/>
              </w:rPr>
            </w:pPr>
            <w:r>
              <w:rPr>
                <w:sz w:val="23"/>
                <w:szCs w:val="23"/>
              </w:rPr>
              <w:t>155.329,64</w:t>
            </w:r>
          </w:p>
        </w:tc>
        <w:tc>
          <w:tcPr>
            <w:tcW w:w="2736" w:type="dxa"/>
          </w:tcPr>
          <w:p w:rsidR="00822816" w:rsidRDefault="00822816">
            <w:pPr>
              <w:pStyle w:val="Default"/>
              <w:rPr>
                <w:sz w:val="23"/>
                <w:szCs w:val="23"/>
              </w:rPr>
            </w:pPr>
            <w:r>
              <w:rPr>
                <w:sz w:val="23"/>
                <w:szCs w:val="23"/>
              </w:rPr>
              <w:t>9,01%</w:t>
            </w:r>
          </w:p>
        </w:tc>
      </w:tr>
      <w:tr w:rsidR="00822816" w:rsidTr="000D6F9B">
        <w:trPr>
          <w:trHeight w:val="116"/>
        </w:trPr>
        <w:tc>
          <w:tcPr>
            <w:tcW w:w="2735" w:type="dxa"/>
          </w:tcPr>
          <w:p w:rsidR="00822816" w:rsidRDefault="00822816">
            <w:pPr>
              <w:pStyle w:val="Default"/>
              <w:rPr>
                <w:sz w:val="23"/>
                <w:szCs w:val="23"/>
              </w:rPr>
            </w:pPr>
            <w:r>
              <w:rPr>
                <w:b/>
                <w:bCs/>
                <w:sz w:val="23"/>
                <w:szCs w:val="23"/>
              </w:rPr>
              <w:t>BOT Flessibili</w:t>
            </w:r>
          </w:p>
        </w:tc>
        <w:tc>
          <w:tcPr>
            <w:tcW w:w="2735" w:type="dxa"/>
          </w:tcPr>
          <w:p w:rsidR="00822816" w:rsidRDefault="00822816">
            <w:pPr>
              <w:pStyle w:val="Default"/>
              <w:rPr>
                <w:sz w:val="23"/>
                <w:szCs w:val="23"/>
              </w:rPr>
            </w:pPr>
            <w:r>
              <w:rPr>
                <w:sz w:val="23"/>
                <w:szCs w:val="23"/>
              </w:rPr>
              <w:t>8.500</w:t>
            </w:r>
          </w:p>
        </w:tc>
        <w:tc>
          <w:tcPr>
            <w:tcW w:w="2736" w:type="dxa"/>
          </w:tcPr>
          <w:p w:rsidR="00822816" w:rsidRDefault="00822816">
            <w:pPr>
              <w:pStyle w:val="Default"/>
              <w:rPr>
                <w:sz w:val="23"/>
                <w:szCs w:val="23"/>
              </w:rPr>
            </w:pPr>
            <w:r>
              <w:rPr>
                <w:sz w:val="23"/>
                <w:szCs w:val="23"/>
              </w:rPr>
              <w:t>0,49%</w:t>
            </w:r>
          </w:p>
        </w:tc>
      </w:tr>
      <w:tr w:rsidR="00822816" w:rsidTr="000D6F9B">
        <w:trPr>
          <w:trHeight w:val="116"/>
        </w:trPr>
        <w:tc>
          <w:tcPr>
            <w:tcW w:w="2735" w:type="dxa"/>
          </w:tcPr>
          <w:p w:rsidR="00822816" w:rsidRDefault="00822816">
            <w:pPr>
              <w:pStyle w:val="Default"/>
              <w:rPr>
                <w:sz w:val="23"/>
                <w:szCs w:val="23"/>
              </w:rPr>
            </w:pPr>
            <w:r>
              <w:rPr>
                <w:b/>
                <w:bCs/>
                <w:sz w:val="23"/>
                <w:szCs w:val="23"/>
              </w:rPr>
              <w:t>CCT</w:t>
            </w:r>
          </w:p>
        </w:tc>
        <w:tc>
          <w:tcPr>
            <w:tcW w:w="2735" w:type="dxa"/>
          </w:tcPr>
          <w:p w:rsidR="00822816" w:rsidRDefault="00822816">
            <w:pPr>
              <w:pStyle w:val="Default"/>
              <w:rPr>
                <w:sz w:val="23"/>
                <w:szCs w:val="23"/>
              </w:rPr>
            </w:pPr>
            <w:r>
              <w:rPr>
                <w:sz w:val="23"/>
                <w:szCs w:val="23"/>
              </w:rPr>
              <w:t>124.282,14</w:t>
            </w:r>
          </w:p>
        </w:tc>
        <w:tc>
          <w:tcPr>
            <w:tcW w:w="2736" w:type="dxa"/>
          </w:tcPr>
          <w:p w:rsidR="00822816" w:rsidRDefault="00822816">
            <w:pPr>
              <w:pStyle w:val="Default"/>
              <w:rPr>
                <w:sz w:val="23"/>
                <w:szCs w:val="23"/>
              </w:rPr>
            </w:pPr>
            <w:r>
              <w:rPr>
                <w:sz w:val="23"/>
                <w:szCs w:val="23"/>
              </w:rPr>
              <w:t>7,21%</w:t>
            </w:r>
          </w:p>
        </w:tc>
      </w:tr>
      <w:tr w:rsidR="00822816" w:rsidTr="000D6F9B">
        <w:trPr>
          <w:trHeight w:val="96"/>
        </w:trPr>
        <w:tc>
          <w:tcPr>
            <w:tcW w:w="2735" w:type="dxa"/>
          </w:tcPr>
          <w:p w:rsidR="00822816" w:rsidRDefault="00822816">
            <w:pPr>
              <w:pStyle w:val="Default"/>
              <w:rPr>
                <w:sz w:val="20"/>
                <w:szCs w:val="20"/>
              </w:rPr>
            </w:pPr>
            <w:r>
              <w:rPr>
                <w:b/>
                <w:bCs/>
                <w:sz w:val="20"/>
                <w:szCs w:val="20"/>
              </w:rPr>
              <w:t xml:space="preserve">di cui </w:t>
            </w:r>
            <w:proofErr w:type="spellStart"/>
            <w:r>
              <w:rPr>
                <w:b/>
                <w:bCs/>
                <w:sz w:val="20"/>
                <w:szCs w:val="20"/>
              </w:rPr>
              <w:t>CCTeu</w:t>
            </w:r>
            <w:proofErr w:type="spellEnd"/>
          </w:p>
        </w:tc>
        <w:tc>
          <w:tcPr>
            <w:tcW w:w="2735" w:type="dxa"/>
          </w:tcPr>
          <w:p w:rsidR="00822816" w:rsidRDefault="00822816">
            <w:pPr>
              <w:pStyle w:val="Default"/>
              <w:rPr>
                <w:sz w:val="20"/>
                <w:szCs w:val="20"/>
              </w:rPr>
            </w:pPr>
            <w:r>
              <w:rPr>
                <w:sz w:val="20"/>
                <w:szCs w:val="20"/>
              </w:rPr>
              <w:t>63.947,11</w:t>
            </w:r>
          </w:p>
        </w:tc>
        <w:tc>
          <w:tcPr>
            <w:tcW w:w="2736" w:type="dxa"/>
          </w:tcPr>
          <w:p w:rsidR="00822816" w:rsidRDefault="00822816">
            <w:pPr>
              <w:pStyle w:val="Default"/>
              <w:rPr>
                <w:sz w:val="20"/>
                <w:szCs w:val="20"/>
              </w:rPr>
            </w:pPr>
            <w:r>
              <w:rPr>
                <w:sz w:val="20"/>
                <w:szCs w:val="20"/>
              </w:rPr>
              <w:t>3,71%</w:t>
            </w:r>
          </w:p>
        </w:tc>
      </w:tr>
      <w:tr w:rsidR="00822816" w:rsidTr="000D6F9B">
        <w:trPr>
          <w:trHeight w:val="116"/>
        </w:trPr>
        <w:tc>
          <w:tcPr>
            <w:tcW w:w="2735" w:type="dxa"/>
          </w:tcPr>
          <w:p w:rsidR="00822816" w:rsidRDefault="00822816">
            <w:pPr>
              <w:pStyle w:val="Default"/>
              <w:rPr>
                <w:sz w:val="23"/>
                <w:szCs w:val="23"/>
              </w:rPr>
            </w:pPr>
            <w:r>
              <w:rPr>
                <w:b/>
                <w:bCs/>
                <w:sz w:val="23"/>
                <w:szCs w:val="23"/>
              </w:rPr>
              <w:t>CTZ</w:t>
            </w:r>
          </w:p>
        </w:tc>
        <w:tc>
          <w:tcPr>
            <w:tcW w:w="2735" w:type="dxa"/>
          </w:tcPr>
          <w:p w:rsidR="00822816" w:rsidRDefault="00822816">
            <w:pPr>
              <w:pStyle w:val="Default"/>
              <w:rPr>
                <w:sz w:val="23"/>
                <w:szCs w:val="23"/>
              </w:rPr>
            </w:pPr>
            <w:r>
              <w:rPr>
                <w:sz w:val="23"/>
                <w:szCs w:val="23"/>
              </w:rPr>
              <w:t>69.998,63</w:t>
            </w:r>
          </w:p>
        </w:tc>
        <w:tc>
          <w:tcPr>
            <w:tcW w:w="2736" w:type="dxa"/>
          </w:tcPr>
          <w:p w:rsidR="00822816" w:rsidRDefault="00822816">
            <w:pPr>
              <w:pStyle w:val="Default"/>
              <w:rPr>
                <w:sz w:val="23"/>
                <w:szCs w:val="23"/>
              </w:rPr>
            </w:pPr>
            <w:r>
              <w:rPr>
                <w:sz w:val="23"/>
                <w:szCs w:val="23"/>
              </w:rPr>
              <w:t>4,06%</w:t>
            </w:r>
          </w:p>
        </w:tc>
      </w:tr>
      <w:tr w:rsidR="00822816" w:rsidTr="000D6F9B">
        <w:trPr>
          <w:trHeight w:val="116"/>
        </w:trPr>
        <w:tc>
          <w:tcPr>
            <w:tcW w:w="2735" w:type="dxa"/>
          </w:tcPr>
          <w:p w:rsidR="00822816" w:rsidRDefault="00822816">
            <w:pPr>
              <w:pStyle w:val="Default"/>
              <w:rPr>
                <w:sz w:val="23"/>
                <w:szCs w:val="23"/>
              </w:rPr>
            </w:pPr>
            <w:r>
              <w:rPr>
                <w:b/>
                <w:bCs/>
                <w:sz w:val="23"/>
                <w:szCs w:val="23"/>
              </w:rPr>
              <w:t>BTP</w:t>
            </w:r>
          </w:p>
        </w:tc>
        <w:tc>
          <w:tcPr>
            <w:tcW w:w="2735" w:type="dxa"/>
          </w:tcPr>
          <w:p w:rsidR="00822816" w:rsidRDefault="00822816">
            <w:pPr>
              <w:pStyle w:val="Default"/>
              <w:rPr>
                <w:sz w:val="23"/>
                <w:szCs w:val="23"/>
              </w:rPr>
            </w:pPr>
            <w:r>
              <w:rPr>
                <w:sz w:val="23"/>
                <w:szCs w:val="23"/>
              </w:rPr>
              <w:t>1.131.152,97</w:t>
            </w:r>
          </w:p>
        </w:tc>
        <w:tc>
          <w:tcPr>
            <w:tcW w:w="2736" w:type="dxa"/>
          </w:tcPr>
          <w:p w:rsidR="00822816" w:rsidRDefault="00822816">
            <w:pPr>
              <w:pStyle w:val="Default"/>
              <w:rPr>
                <w:sz w:val="23"/>
                <w:szCs w:val="23"/>
              </w:rPr>
            </w:pPr>
            <w:r>
              <w:rPr>
                <w:sz w:val="23"/>
                <w:szCs w:val="23"/>
              </w:rPr>
              <w:t>65,62%</w:t>
            </w:r>
          </w:p>
        </w:tc>
      </w:tr>
      <w:tr w:rsidR="00822816" w:rsidTr="000D6F9B">
        <w:trPr>
          <w:trHeight w:val="116"/>
        </w:trPr>
        <w:tc>
          <w:tcPr>
            <w:tcW w:w="2735" w:type="dxa"/>
          </w:tcPr>
          <w:p w:rsidR="00822816" w:rsidRDefault="00822816">
            <w:pPr>
              <w:pStyle w:val="Default"/>
              <w:rPr>
                <w:sz w:val="20"/>
                <w:szCs w:val="20"/>
              </w:rPr>
            </w:pPr>
            <w:r>
              <w:rPr>
                <w:b/>
                <w:bCs/>
                <w:sz w:val="23"/>
                <w:szCs w:val="23"/>
              </w:rPr>
              <w:t xml:space="preserve">BTP €i </w:t>
            </w:r>
            <w:r>
              <w:rPr>
                <w:b/>
                <w:bCs/>
                <w:sz w:val="20"/>
                <w:szCs w:val="20"/>
              </w:rPr>
              <w:t>(rivalutato)</w:t>
            </w:r>
          </w:p>
        </w:tc>
        <w:tc>
          <w:tcPr>
            <w:tcW w:w="2735" w:type="dxa"/>
          </w:tcPr>
          <w:p w:rsidR="00822816" w:rsidRDefault="00822816">
            <w:pPr>
              <w:pStyle w:val="Default"/>
              <w:rPr>
                <w:sz w:val="23"/>
                <w:szCs w:val="23"/>
              </w:rPr>
            </w:pPr>
            <w:r>
              <w:rPr>
                <w:sz w:val="23"/>
                <w:szCs w:val="23"/>
              </w:rPr>
              <w:t>132.306,90</w:t>
            </w:r>
          </w:p>
        </w:tc>
        <w:tc>
          <w:tcPr>
            <w:tcW w:w="2736" w:type="dxa"/>
          </w:tcPr>
          <w:p w:rsidR="00822816" w:rsidRDefault="00822816">
            <w:pPr>
              <w:pStyle w:val="Default"/>
              <w:rPr>
                <w:sz w:val="23"/>
                <w:szCs w:val="23"/>
              </w:rPr>
            </w:pPr>
            <w:r>
              <w:rPr>
                <w:sz w:val="23"/>
                <w:szCs w:val="23"/>
              </w:rPr>
              <w:t>7,68%</w:t>
            </w:r>
          </w:p>
        </w:tc>
      </w:tr>
      <w:tr w:rsidR="00822816" w:rsidTr="000D6F9B">
        <w:trPr>
          <w:trHeight w:val="116"/>
        </w:trPr>
        <w:tc>
          <w:tcPr>
            <w:tcW w:w="2735" w:type="dxa"/>
          </w:tcPr>
          <w:p w:rsidR="00822816" w:rsidRDefault="00822816">
            <w:pPr>
              <w:pStyle w:val="Default"/>
              <w:rPr>
                <w:sz w:val="20"/>
                <w:szCs w:val="20"/>
              </w:rPr>
            </w:pPr>
            <w:r>
              <w:rPr>
                <w:b/>
                <w:bCs/>
                <w:sz w:val="23"/>
                <w:szCs w:val="23"/>
              </w:rPr>
              <w:t xml:space="preserve">BTP Italia </w:t>
            </w:r>
            <w:r>
              <w:rPr>
                <w:b/>
                <w:bCs/>
                <w:sz w:val="20"/>
                <w:szCs w:val="20"/>
              </w:rPr>
              <w:t>(rivalutato)</w:t>
            </w:r>
          </w:p>
        </w:tc>
        <w:tc>
          <w:tcPr>
            <w:tcW w:w="2735" w:type="dxa"/>
          </w:tcPr>
          <w:p w:rsidR="00822816" w:rsidRDefault="00822816">
            <w:pPr>
              <w:pStyle w:val="Default"/>
              <w:rPr>
                <w:sz w:val="23"/>
                <w:szCs w:val="23"/>
              </w:rPr>
            </w:pPr>
            <w:r>
              <w:rPr>
                <w:sz w:val="23"/>
                <w:szCs w:val="23"/>
              </w:rPr>
              <w:t>44.273,17</w:t>
            </w:r>
          </w:p>
        </w:tc>
        <w:tc>
          <w:tcPr>
            <w:tcW w:w="2736" w:type="dxa"/>
          </w:tcPr>
          <w:p w:rsidR="00822816" w:rsidRDefault="00822816">
            <w:pPr>
              <w:pStyle w:val="Default"/>
              <w:rPr>
                <w:sz w:val="23"/>
                <w:szCs w:val="23"/>
              </w:rPr>
            </w:pPr>
            <w:r>
              <w:rPr>
                <w:sz w:val="23"/>
                <w:szCs w:val="23"/>
              </w:rPr>
              <w:t>2,57%</w:t>
            </w:r>
          </w:p>
        </w:tc>
      </w:tr>
      <w:tr w:rsidR="00822816" w:rsidTr="000D6F9B">
        <w:trPr>
          <w:trHeight w:val="116"/>
        </w:trPr>
        <w:tc>
          <w:tcPr>
            <w:tcW w:w="2735" w:type="dxa"/>
          </w:tcPr>
          <w:p w:rsidR="00822816" w:rsidRDefault="00822816">
            <w:pPr>
              <w:pStyle w:val="Default"/>
              <w:rPr>
                <w:sz w:val="23"/>
                <w:szCs w:val="23"/>
              </w:rPr>
            </w:pPr>
            <w:r>
              <w:rPr>
                <w:b/>
                <w:bCs/>
                <w:sz w:val="23"/>
                <w:szCs w:val="23"/>
              </w:rPr>
              <w:t>BTP atipici</w:t>
            </w:r>
          </w:p>
        </w:tc>
        <w:tc>
          <w:tcPr>
            <w:tcW w:w="2735" w:type="dxa"/>
          </w:tcPr>
          <w:p w:rsidR="00822816" w:rsidRDefault="00822816">
            <w:pPr>
              <w:pStyle w:val="Default"/>
              <w:rPr>
                <w:sz w:val="23"/>
                <w:szCs w:val="23"/>
              </w:rPr>
            </w:pPr>
            <w:r>
              <w:rPr>
                <w:sz w:val="23"/>
                <w:szCs w:val="23"/>
              </w:rPr>
              <w:t>563,055</w:t>
            </w:r>
          </w:p>
        </w:tc>
        <w:tc>
          <w:tcPr>
            <w:tcW w:w="2736" w:type="dxa"/>
          </w:tcPr>
          <w:p w:rsidR="00822816" w:rsidRDefault="00822816">
            <w:pPr>
              <w:pStyle w:val="Default"/>
              <w:rPr>
                <w:sz w:val="23"/>
                <w:szCs w:val="23"/>
              </w:rPr>
            </w:pPr>
            <w:r>
              <w:rPr>
                <w:sz w:val="23"/>
                <w:szCs w:val="23"/>
              </w:rPr>
              <w:t>0,03%</w:t>
            </w:r>
          </w:p>
        </w:tc>
      </w:tr>
      <w:tr w:rsidR="00822816" w:rsidTr="000D6F9B">
        <w:trPr>
          <w:trHeight w:val="116"/>
        </w:trPr>
        <w:tc>
          <w:tcPr>
            <w:tcW w:w="2735" w:type="dxa"/>
          </w:tcPr>
          <w:p w:rsidR="00822816" w:rsidRDefault="00822816">
            <w:pPr>
              <w:pStyle w:val="Default"/>
              <w:rPr>
                <w:sz w:val="23"/>
                <w:szCs w:val="23"/>
              </w:rPr>
            </w:pPr>
            <w:r>
              <w:rPr>
                <w:b/>
                <w:bCs/>
                <w:sz w:val="23"/>
                <w:szCs w:val="23"/>
              </w:rPr>
              <w:t>Estero in €uro</w:t>
            </w:r>
          </w:p>
        </w:tc>
        <w:tc>
          <w:tcPr>
            <w:tcW w:w="2735" w:type="dxa"/>
          </w:tcPr>
          <w:p w:rsidR="00822816" w:rsidRDefault="00822816">
            <w:pPr>
              <w:pStyle w:val="Default"/>
              <w:rPr>
                <w:sz w:val="23"/>
                <w:szCs w:val="23"/>
              </w:rPr>
            </w:pPr>
            <w:r>
              <w:rPr>
                <w:sz w:val="23"/>
                <w:szCs w:val="23"/>
              </w:rPr>
              <w:t>55.688,25</w:t>
            </w:r>
          </w:p>
        </w:tc>
        <w:tc>
          <w:tcPr>
            <w:tcW w:w="2736" w:type="dxa"/>
          </w:tcPr>
          <w:p w:rsidR="00822816" w:rsidRDefault="00822816">
            <w:pPr>
              <w:pStyle w:val="Default"/>
              <w:rPr>
                <w:sz w:val="23"/>
                <w:szCs w:val="23"/>
              </w:rPr>
            </w:pPr>
            <w:r>
              <w:rPr>
                <w:sz w:val="23"/>
                <w:szCs w:val="23"/>
              </w:rPr>
              <w:t>3,23%</w:t>
            </w:r>
          </w:p>
        </w:tc>
      </w:tr>
      <w:tr w:rsidR="00822816" w:rsidTr="000D6F9B">
        <w:trPr>
          <w:trHeight w:val="87"/>
        </w:trPr>
        <w:tc>
          <w:tcPr>
            <w:tcW w:w="2735" w:type="dxa"/>
          </w:tcPr>
          <w:p w:rsidR="00822816" w:rsidRDefault="00822816">
            <w:pPr>
              <w:pStyle w:val="Default"/>
              <w:rPr>
                <w:sz w:val="18"/>
                <w:szCs w:val="18"/>
              </w:rPr>
            </w:pPr>
            <w:r>
              <w:rPr>
                <w:b/>
                <w:bCs/>
                <w:sz w:val="18"/>
                <w:szCs w:val="18"/>
              </w:rPr>
              <w:t xml:space="preserve">di cui Titoli </w:t>
            </w:r>
            <w:proofErr w:type="spellStart"/>
            <w:r>
              <w:rPr>
                <w:b/>
                <w:bCs/>
                <w:sz w:val="18"/>
                <w:szCs w:val="18"/>
              </w:rPr>
              <w:t>Ispa</w:t>
            </w:r>
            <w:proofErr w:type="spellEnd"/>
          </w:p>
        </w:tc>
        <w:tc>
          <w:tcPr>
            <w:tcW w:w="2735" w:type="dxa"/>
          </w:tcPr>
          <w:p w:rsidR="00822816" w:rsidRDefault="00822816">
            <w:pPr>
              <w:pStyle w:val="Default"/>
              <w:rPr>
                <w:sz w:val="18"/>
                <w:szCs w:val="18"/>
              </w:rPr>
            </w:pPr>
            <w:r>
              <w:rPr>
                <w:sz w:val="18"/>
                <w:szCs w:val="18"/>
              </w:rPr>
              <w:t>9.606,29</w:t>
            </w:r>
          </w:p>
        </w:tc>
        <w:tc>
          <w:tcPr>
            <w:tcW w:w="2736" w:type="dxa"/>
          </w:tcPr>
          <w:p w:rsidR="00822816" w:rsidRDefault="00822816">
            <w:pPr>
              <w:pStyle w:val="Default"/>
              <w:rPr>
                <w:sz w:val="18"/>
                <w:szCs w:val="18"/>
              </w:rPr>
            </w:pPr>
            <w:r>
              <w:rPr>
                <w:sz w:val="18"/>
                <w:szCs w:val="18"/>
              </w:rPr>
              <w:t>0,56%</w:t>
            </w:r>
          </w:p>
        </w:tc>
      </w:tr>
      <w:tr w:rsidR="00822816" w:rsidTr="000D6F9B">
        <w:trPr>
          <w:trHeight w:val="116"/>
        </w:trPr>
        <w:tc>
          <w:tcPr>
            <w:tcW w:w="2735" w:type="dxa"/>
          </w:tcPr>
          <w:p w:rsidR="00822816" w:rsidRDefault="00822816">
            <w:pPr>
              <w:pStyle w:val="Default"/>
              <w:rPr>
                <w:sz w:val="22"/>
                <w:szCs w:val="22"/>
              </w:rPr>
            </w:pPr>
            <w:r>
              <w:rPr>
                <w:b/>
                <w:bCs/>
                <w:sz w:val="22"/>
                <w:szCs w:val="22"/>
              </w:rPr>
              <w:t>Estero in valuta</w:t>
            </w:r>
          </w:p>
        </w:tc>
        <w:tc>
          <w:tcPr>
            <w:tcW w:w="2735" w:type="dxa"/>
          </w:tcPr>
          <w:p w:rsidR="00822816" w:rsidRDefault="00822816">
            <w:pPr>
              <w:pStyle w:val="Default"/>
              <w:rPr>
                <w:sz w:val="23"/>
                <w:szCs w:val="23"/>
              </w:rPr>
            </w:pPr>
            <w:r>
              <w:rPr>
                <w:sz w:val="23"/>
                <w:szCs w:val="23"/>
              </w:rPr>
              <w:t>1.666,05</w:t>
            </w:r>
          </w:p>
        </w:tc>
        <w:tc>
          <w:tcPr>
            <w:tcW w:w="2736" w:type="dxa"/>
          </w:tcPr>
          <w:p w:rsidR="00822816" w:rsidRDefault="00822816">
            <w:pPr>
              <w:pStyle w:val="Default"/>
              <w:rPr>
                <w:sz w:val="23"/>
                <w:szCs w:val="23"/>
              </w:rPr>
            </w:pPr>
            <w:r>
              <w:rPr>
                <w:sz w:val="23"/>
                <w:szCs w:val="23"/>
              </w:rPr>
              <w:t>0,10%</w:t>
            </w:r>
          </w:p>
        </w:tc>
      </w:tr>
      <w:tr w:rsidR="00822816" w:rsidTr="000D6F9B">
        <w:trPr>
          <w:trHeight w:val="116"/>
        </w:trPr>
        <w:tc>
          <w:tcPr>
            <w:tcW w:w="2735" w:type="dxa"/>
          </w:tcPr>
          <w:p w:rsidR="00822816" w:rsidRDefault="00822816">
            <w:pPr>
              <w:pStyle w:val="Default"/>
              <w:rPr>
                <w:sz w:val="23"/>
                <w:szCs w:val="23"/>
              </w:rPr>
            </w:pPr>
            <w:r>
              <w:rPr>
                <w:b/>
                <w:bCs/>
                <w:sz w:val="23"/>
                <w:szCs w:val="23"/>
              </w:rPr>
              <w:t>Totale</w:t>
            </w:r>
          </w:p>
        </w:tc>
        <w:tc>
          <w:tcPr>
            <w:tcW w:w="2735" w:type="dxa"/>
          </w:tcPr>
          <w:p w:rsidR="00822816" w:rsidRDefault="00822816">
            <w:pPr>
              <w:pStyle w:val="Default"/>
              <w:rPr>
                <w:sz w:val="23"/>
                <w:szCs w:val="23"/>
              </w:rPr>
            </w:pPr>
            <w:r>
              <w:rPr>
                <w:b/>
                <w:bCs/>
                <w:sz w:val="23"/>
                <w:szCs w:val="23"/>
              </w:rPr>
              <w:t>1.723.760,81</w:t>
            </w:r>
          </w:p>
        </w:tc>
        <w:tc>
          <w:tcPr>
            <w:tcW w:w="2736" w:type="dxa"/>
          </w:tcPr>
          <w:p w:rsidR="00822816" w:rsidRDefault="00822816">
            <w:pPr>
              <w:pStyle w:val="Default"/>
              <w:rPr>
                <w:sz w:val="23"/>
                <w:szCs w:val="23"/>
              </w:rPr>
            </w:pPr>
            <w:r>
              <w:rPr>
                <w:b/>
                <w:bCs/>
                <w:sz w:val="23"/>
                <w:szCs w:val="23"/>
              </w:rPr>
              <w:t>100%</w:t>
            </w:r>
          </w:p>
        </w:tc>
      </w:tr>
      <w:tr w:rsidR="00822816">
        <w:trPr>
          <w:trHeight w:val="136"/>
        </w:trPr>
        <w:tc>
          <w:tcPr>
            <w:tcW w:w="8206" w:type="dxa"/>
            <w:gridSpan w:val="3"/>
          </w:tcPr>
          <w:p w:rsidR="00822816" w:rsidRDefault="00822816">
            <w:pPr>
              <w:pStyle w:val="Default"/>
              <w:rPr>
                <w:sz w:val="28"/>
                <w:szCs w:val="28"/>
              </w:rPr>
            </w:pPr>
            <w:r>
              <w:rPr>
                <w:b/>
                <w:bCs/>
                <w:sz w:val="28"/>
                <w:szCs w:val="28"/>
              </w:rPr>
              <w:t>Vita Media del Debito</w:t>
            </w:r>
          </w:p>
        </w:tc>
      </w:tr>
      <w:tr w:rsidR="00822816">
        <w:trPr>
          <w:trHeight w:val="136"/>
        </w:trPr>
        <w:tc>
          <w:tcPr>
            <w:tcW w:w="8206" w:type="dxa"/>
            <w:gridSpan w:val="3"/>
          </w:tcPr>
          <w:p w:rsidR="00822816" w:rsidRDefault="00822816">
            <w:pPr>
              <w:pStyle w:val="Default"/>
              <w:rPr>
                <w:sz w:val="28"/>
                <w:szCs w:val="28"/>
              </w:rPr>
            </w:pPr>
            <w:r>
              <w:rPr>
                <w:b/>
                <w:bCs/>
                <w:sz w:val="28"/>
                <w:szCs w:val="28"/>
              </w:rPr>
              <w:t>6,44</w:t>
            </w:r>
          </w:p>
        </w:tc>
      </w:tr>
      <w:tr w:rsidR="00822816">
        <w:trPr>
          <w:trHeight w:val="107"/>
        </w:trPr>
        <w:tc>
          <w:tcPr>
            <w:tcW w:w="8206" w:type="dxa"/>
            <w:gridSpan w:val="3"/>
          </w:tcPr>
          <w:p w:rsidR="00822816" w:rsidRDefault="00822816">
            <w:pPr>
              <w:pStyle w:val="Default"/>
              <w:rPr>
                <w:sz w:val="22"/>
                <w:szCs w:val="22"/>
              </w:rPr>
            </w:pPr>
            <w:r>
              <w:rPr>
                <w:b/>
                <w:bCs/>
                <w:sz w:val="22"/>
                <w:szCs w:val="22"/>
              </w:rPr>
              <w:t>N.B. Il debito estero è valorizzato dopo swap.</w:t>
            </w:r>
          </w:p>
        </w:tc>
      </w:tr>
    </w:tbl>
    <w:p w:rsidR="00A718C1" w:rsidRDefault="00822816">
      <w:pPr>
        <w:rPr>
          <w:b/>
          <w:bCs/>
          <w:sz w:val="18"/>
          <w:szCs w:val="18"/>
        </w:rPr>
      </w:pPr>
      <w:r>
        <w:rPr>
          <w:b/>
          <w:bCs/>
          <w:sz w:val="18"/>
          <w:szCs w:val="18"/>
        </w:rPr>
        <w:t xml:space="preserve">BOT 9,01% BOT Flessibili 0,49% CCT 3,50% </w:t>
      </w:r>
      <w:proofErr w:type="spellStart"/>
      <w:r>
        <w:rPr>
          <w:b/>
          <w:bCs/>
          <w:sz w:val="18"/>
          <w:szCs w:val="18"/>
        </w:rPr>
        <w:t>CCTeu</w:t>
      </w:r>
      <w:proofErr w:type="spellEnd"/>
      <w:r>
        <w:rPr>
          <w:b/>
          <w:bCs/>
          <w:sz w:val="18"/>
          <w:szCs w:val="18"/>
        </w:rPr>
        <w:t xml:space="preserve"> 3,71% CTZ 4,06% BTP 65,65% BTP €i (rivalutato) 7,68% BTP Italia (rivalutato) 2,57% Estero in €uro 3,23% Estero in valuta 0,10% BOT 9,01% BOT Flessibili 0,49% CCT 3,50% </w:t>
      </w:r>
      <w:proofErr w:type="spellStart"/>
      <w:r>
        <w:rPr>
          <w:b/>
          <w:bCs/>
          <w:sz w:val="18"/>
          <w:szCs w:val="18"/>
        </w:rPr>
        <w:t>CCTeu</w:t>
      </w:r>
      <w:proofErr w:type="spellEnd"/>
      <w:r>
        <w:rPr>
          <w:b/>
          <w:bCs/>
          <w:sz w:val="18"/>
          <w:szCs w:val="18"/>
        </w:rPr>
        <w:t xml:space="preserve"> 3,71% CTZ 4,06% BTP 65,65% BTP €i (rivalutato) 7,68% BTP Italia (rivalutato) 2,57% Estero in €uro 3,23% Estero in valuta 0,10%</w:t>
      </w:r>
    </w:p>
    <w:p w:rsidR="00822816" w:rsidRPr="00416EB4" w:rsidRDefault="00822816">
      <w:pPr>
        <w:rPr>
          <w:b/>
          <w:sz w:val="24"/>
          <w:szCs w:val="24"/>
          <w:lang w:eastAsia="it-IT"/>
        </w:rPr>
      </w:pPr>
      <w:r w:rsidRPr="00416EB4">
        <w:rPr>
          <w:b/>
          <w:sz w:val="24"/>
          <w:szCs w:val="24"/>
          <w:lang w:eastAsia="it-IT"/>
        </w:rPr>
        <w:t>Fonte</w:t>
      </w:r>
      <w:r w:rsidR="00416EB4" w:rsidRPr="00416EB4">
        <w:rPr>
          <w:b/>
          <w:sz w:val="24"/>
          <w:szCs w:val="24"/>
          <w:lang w:eastAsia="it-IT"/>
        </w:rPr>
        <w:t>:</w:t>
      </w:r>
      <w:r w:rsidRPr="00416EB4">
        <w:rPr>
          <w:b/>
          <w:sz w:val="24"/>
          <w:szCs w:val="24"/>
          <w:lang w:eastAsia="it-IT"/>
        </w:rPr>
        <w:t xml:space="preserve"> Ministero del Tesoro </w:t>
      </w:r>
    </w:p>
    <w:p w:rsidR="00416EB4" w:rsidRDefault="00416EB4" w:rsidP="00416EB4">
      <w:pPr>
        <w:pStyle w:val="Titolo2"/>
        <w:jc w:val="both"/>
      </w:pPr>
      <w:r>
        <w:t xml:space="preserve">    </w:t>
      </w:r>
      <w:r w:rsidR="00B74486">
        <w:t>Nella composizione del paniere dei titoli di stato, il cui totale è di 1.723.760,81 milioni di euro,   la parte del leone la fanno i Btp (atipici, Italia e rivalutati , con una quota del 75,9% ed un ammontare di 1.313 miliardi di euro; seguono i Bot con il 9,5% ed un valore di poco meno di 164 miliardi di euro; i  CCT con la quota percentuale dell’11%</w:t>
      </w:r>
      <w:r>
        <w:t xml:space="preserve"> ed un ammontare poco meno ai 144 miliardi di euro. </w:t>
      </w:r>
    </w:p>
    <w:p w:rsidR="00AF5D7B" w:rsidRDefault="00416EB4" w:rsidP="00416EB4">
      <w:pPr>
        <w:pStyle w:val="Titolo2"/>
        <w:jc w:val="both"/>
        <w:rPr>
          <w:b/>
          <w:bCs/>
          <w:sz w:val="18"/>
          <w:szCs w:val="18"/>
        </w:rPr>
      </w:pPr>
      <w:r>
        <w:t xml:space="preserve">   </w:t>
      </w:r>
      <w:r w:rsidR="00AF5D7B" w:rsidRPr="00AF5D7B">
        <w:t>Tra</w:t>
      </w:r>
      <w:r w:rsidR="00AF5D7B">
        <w:t xml:space="preserve"> il 10 ottobre 2013 ed il 31 dicembre 2013 sono programmate 10 aste (2 consistenti di BTP il 1 novembre ed il 15 dicembre 2013) per un ammontare di 98.075 milioni di euro. Nel 2014, sono programmate  scadenze di titoli di Stato all’asta,</w:t>
      </w:r>
      <w:r>
        <w:t xml:space="preserve"> </w:t>
      </w:r>
      <w:r w:rsidR="00AF5D7B">
        <w:t>ben 24 al ritmo di 2 al mese, per 291,514 miliardi di euro).</w:t>
      </w:r>
    </w:p>
    <w:p w:rsidR="00AF5D7B" w:rsidRPr="00AF5D7B" w:rsidRDefault="00416EB4" w:rsidP="00AF5D7B">
      <w:pPr>
        <w:spacing w:after="0" w:line="240" w:lineRule="auto"/>
        <w:jc w:val="both"/>
        <w:rPr>
          <w:rFonts w:ascii="Century Gothic" w:eastAsia="Calibri" w:hAnsi="Century Gothic" w:cs="Times New Roman"/>
          <w:sz w:val="24"/>
          <w:szCs w:val="24"/>
          <w:lang w:eastAsia="it-IT"/>
        </w:rPr>
      </w:pPr>
      <w:r>
        <w:rPr>
          <w:rFonts w:ascii="Century Gothic" w:eastAsia="Calibri" w:hAnsi="Century Gothic" w:cs="Times New Roman"/>
          <w:sz w:val="24"/>
          <w:szCs w:val="24"/>
          <w:lang w:eastAsia="it-IT"/>
        </w:rPr>
        <w:t xml:space="preserve">Titoli in scadenza </w:t>
      </w:r>
      <w:r w:rsidR="00AF5D7B" w:rsidRPr="00AF5D7B">
        <w:rPr>
          <w:rFonts w:ascii="Century Gothic" w:eastAsia="Calibri" w:hAnsi="Century Gothic" w:cs="Times New Roman"/>
          <w:sz w:val="24"/>
          <w:szCs w:val="24"/>
          <w:lang w:eastAsia="it-IT"/>
        </w:rPr>
        <w:t xml:space="preserve">Anno 2013  </w:t>
      </w:r>
      <w:r>
        <w:rPr>
          <w:rFonts w:ascii="Century Gothic" w:eastAsia="Calibri" w:hAnsi="Century Gothic" w:cs="Times New Roman"/>
          <w:sz w:val="24"/>
          <w:szCs w:val="24"/>
          <w:lang w:eastAsia="it-IT"/>
        </w:rPr>
        <w:t>=</w:t>
      </w:r>
      <w:r w:rsidR="00AF5D7B" w:rsidRPr="00AF5D7B">
        <w:rPr>
          <w:rFonts w:ascii="Century Gothic" w:eastAsia="Calibri" w:hAnsi="Century Gothic" w:cs="Times New Roman"/>
          <w:sz w:val="24"/>
          <w:szCs w:val="24"/>
          <w:lang w:eastAsia="it-IT"/>
        </w:rPr>
        <w:t xml:space="preserve"> </w:t>
      </w:r>
      <w:r>
        <w:rPr>
          <w:rFonts w:ascii="Century Gothic" w:eastAsia="Calibri" w:hAnsi="Century Gothic" w:cs="Times New Roman"/>
          <w:sz w:val="24"/>
          <w:szCs w:val="24"/>
          <w:lang w:eastAsia="it-IT"/>
        </w:rPr>
        <w:t xml:space="preserve"> </w:t>
      </w:r>
      <w:r w:rsidR="00AF5D7B" w:rsidRPr="00AF5D7B">
        <w:rPr>
          <w:rFonts w:ascii="Century Gothic" w:eastAsia="Calibri" w:hAnsi="Century Gothic" w:cs="Times New Roman"/>
          <w:sz w:val="24"/>
          <w:szCs w:val="24"/>
          <w:lang w:eastAsia="it-IT"/>
        </w:rPr>
        <w:t xml:space="preserve"> 98,075 miliardi </w:t>
      </w:r>
    </w:p>
    <w:p w:rsidR="00AF5D7B" w:rsidRDefault="00416EB4" w:rsidP="00AF5D7B">
      <w:pPr>
        <w:pBdr>
          <w:bottom w:val="single" w:sz="6" w:space="1" w:color="auto"/>
        </w:pBdr>
        <w:spacing w:after="0" w:line="240" w:lineRule="auto"/>
        <w:jc w:val="both"/>
        <w:rPr>
          <w:rFonts w:ascii="Century Gothic" w:eastAsia="Calibri" w:hAnsi="Century Gothic" w:cs="Times New Roman"/>
          <w:sz w:val="24"/>
          <w:szCs w:val="24"/>
          <w:lang w:eastAsia="it-IT"/>
        </w:rPr>
      </w:pPr>
      <w:r>
        <w:rPr>
          <w:rFonts w:ascii="Century Gothic" w:eastAsia="Calibri" w:hAnsi="Century Gothic" w:cs="Times New Roman"/>
          <w:sz w:val="24"/>
          <w:szCs w:val="24"/>
          <w:lang w:eastAsia="it-IT"/>
        </w:rPr>
        <w:t xml:space="preserve">Titoli in scadenza </w:t>
      </w:r>
      <w:r w:rsidR="00AF5D7B" w:rsidRPr="00AF5D7B">
        <w:rPr>
          <w:rFonts w:ascii="Century Gothic" w:eastAsia="Calibri" w:hAnsi="Century Gothic" w:cs="Times New Roman"/>
          <w:sz w:val="24"/>
          <w:szCs w:val="24"/>
          <w:lang w:eastAsia="it-IT"/>
        </w:rPr>
        <w:t xml:space="preserve">Anno 2014  </w:t>
      </w:r>
      <w:r>
        <w:rPr>
          <w:rFonts w:ascii="Century Gothic" w:eastAsia="Calibri" w:hAnsi="Century Gothic" w:cs="Times New Roman"/>
          <w:sz w:val="24"/>
          <w:szCs w:val="24"/>
          <w:lang w:eastAsia="it-IT"/>
        </w:rPr>
        <w:t xml:space="preserve">= </w:t>
      </w:r>
      <w:r w:rsidR="00AF5D7B" w:rsidRPr="00AF5D7B">
        <w:rPr>
          <w:rFonts w:ascii="Century Gothic" w:eastAsia="Calibri" w:hAnsi="Century Gothic" w:cs="Times New Roman"/>
          <w:sz w:val="24"/>
          <w:szCs w:val="24"/>
          <w:lang w:eastAsia="it-IT"/>
        </w:rPr>
        <w:t>291,514 miliardi</w:t>
      </w:r>
    </w:p>
    <w:p w:rsidR="00416EB4" w:rsidRDefault="00416EB4" w:rsidP="00AF5D7B">
      <w:pPr>
        <w:spacing w:after="0" w:line="240" w:lineRule="auto"/>
        <w:jc w:val="both"/>
        <w:rPr>
          <w:rFonts w:ascii="Century Gothic" w:eastAsia="Calibri" w:hAnsi="Century Gothic" w:cs="Times New Roman"/>
          <w:sz w:val="24"/>
          <w:szCs w:val="24"/>
          <w:lang w:eastAsia="it-IT"/>
        </w:rPr>
      </w:pPr>
      <w:r>
        <w:rPr>
          <w:rFonts w:ascii="Century Gothic" w:eastAsia="Calibri" w:hAnsi="Century Gothic" w:cs="Times New Roman"/>
          <w:sz w:val="24"/>
          <w:szCs w:val="24"/>
          <w:lang w:eastAsia="it-IT"/>
        </w:rPr>
        <w:t xml:space="preserve">TOTALE                                           389,589 miliardi di euro       </w:t>
      </w:r>
    </w:p>
    <w:p w:rsidR="00416EB4" w:rsidRPr="00AF5D7B" w:rsidRDefault="00416EB4" w:rsidP="00AF5D7B">
      <w:pPr>
        <w:spacing w:after="0" w:line="240" w:lineRule="auto"/>
        <w:jc w:val="both"/>
        <w:rPr>
          <w:rFonts w:ascii="Century Gothic" w:eastAsia="Calibri" w:hAnsi="Century Gothic" w:cs="Times New Roman"/>
          <w:sz w:val="24"/>
          <w:szCs w:val="24"/>
          <w:lang w:eastAsia="it-IT"/>
        </w:rPr>
      </w:pPr>
      <w:r>
        <w:rPr>
          <w:rFonts w:ascii="Century Gothic" w:eastAsia="Calibri" w:hAnsi="Century Gothic" w:cs="Times New Roman"/>
          <w:sz w:val="24"/>
          <w:szCs w:val="24"/>
          <w:lang w:eastAsia="it-IT"/>
        </w:rPr>
        <w:t xml:space="preserve">             </w:t>
      </w:r>
    </w:p>
    <w:p w:rsidR="00416EB4" w:rsidRDefault="00416EB4" w:rsidP="00AF5D7B">
      <w:pPr>
        <w:spacing w:after="0" w:line="240" w:lineRule="auto"/>
        <w:jc w:val="both"/>
        <w:rPr>
          <w:rFonts w:ascii="Century Gothic" w:eastAsia="Calibri" w:hAnsi="Century Gothic" w:cs="Times New Roman"/>
          <w:sz w:val="24"/>
          <w:szCs w:val="24"/>
          <w:lang w:eastAsia="it-IT"/>
        </w:rPr>
      </w:pPr>
      <w:r>
        <w:rPr>
          <w:rFonts w:ascii="Century Gothic" w:eastAsia="Calibri" w:hAnsi="Century Gothic" w:cs="Times New Roman"/>
          <w:sz w:val="24"/>
          <w:szCs w:val="24"/>
          <w:lang w:eastAsia="it-IT"/>
        </w:rPr>
        <w:t xml:space="preserve">   Adusbef e Federconsumatori auspicano che il governo di larghe intese, che ha appena ricevuto la fiducia, possa finalmente porre al centro del programma, una drastica riduzione della spesa improduttiva, senza toccare lo stato sociale, il cui livello è sempre più messo in discussione dalle politiche di austerità imposte dalla troika, e la riduzione del debito pubblico anche con le dismissioni d</w:t>
      </w:r>
      <w:r w:rsidR="000D6F9B">
        <w:rPr>
          <w:rFonts w:ascii="Century Gothic" w:eastAsia="Calibri" w:hAnsi="Century Gothic" w:cs="Times New Roman"/>
          <w:sz w:val="24"/>
          <w:szCs w:val="24"/>
          <w:lang w:eastAsia="it-IT"/>
        </w:rPr>
        <w:t>el 50% d</w:t>
      </w:r>
      <w:r>
        <w:rPr>
          <w:rFonts w:ascii="Century Gothic" w:eastAsia="Calibri" w:hAnsi="Century Gothic" w:cs="Times New Roman"/>
          <w:sz w:val="24"/>
          <w:szCs w:val="24"/>
          <w:lang w:eastAsia="it-IT"/>
        </w:rPr>
        <w:t>i oro e riserve di Bankitalia</w:t>
      </w:r>
      <w:r w:rsidR="000D6F9B">
        <w:rPr>
          <w:rFonts w:ascii="Century Gothic" w:eastAsia="Calibri" w:hAnsi="Century Gothic" w:cs="Times New Roman"/>
          <w:sz w:val="24"/>
          <w:szCs w:val="24"/>
          <w:lang w:eastAsia="it-IT"/>
        </w:rPr>
        <w:t>, pari a 110 miliardi di euro,</w:t>
      </w:r>
      <w:r>
        <w:rPr>
          <w:rFonts w:ascii="Century Gothic" w:eastAsia="Calibri" w:hAnsi="Century Gothic" w:cs="Times New Roman"/>
          <w:sz w:val="24"/>
          <w:szCs w:val="24"/>
          <w:lang w:eastAsia="it-IT"/>
        </w:rPr>
        <w:t xml:space="preserve"> che da tempo non garantiscono più la circolazion</w:t>
      </w:r>
      <w:r w:rsidR="000D6F9B">
        <w:rPr>
          <w:rFonts w:ascii="Century Gothic" w:eastAsia="Calibri" w:hAnsi="Century Gothic" w:cs="Times New Roman"/>
          <w:sz w:val="24"/>
          <w:szCs w:val="24"/>
          <w:lang w:eastAsia="it-IT"/>
        </w:rPr>
        <w:t>e</w:t>
      </w:r>
      <w:r>
        <w:rPr>
          <w:rFonts w:ascii="Century Gothic" w:eastAsia="Calibri" w:hAnsi="Century Gothic" w:cs="Times New Roman"/>
          <w:sz w:val="24"/>
          <w:szCs w:val="24"/>
          <w:lang w:eastAsia="it-IT"/>
        </w:rPr>
        <w:t xml:space="preserve"> monetaria.</w:t>
      </w:r>
    </w:p>
    <w:p w:rsidR="000D6F9B" w:rsidRDefault="00416EB4" w:rsidP="00AF5D7B">
      <w:pPr>
        <w:spacing w:after="0" w:line="240" w:lineRule="auto"/>
        <w:jc w:val="both"/>
        <w:rPr>
          <w:rFonts w:ascii="Century Gothic" w:eastAsia="Calibri" w:hAnsi="Century Gothic" w:cs="Times New Roman"/>
          <w:sz w:val="24"/>
          <w:szCs w:val="24"/>
          <w:lang w:eastAsia="it-IT"/>
        </w:rPr>
      </w:pPr>
      <w:r>
        <w:rPr>
          <w:rFonts w:ascii="Century Gothic" w:eastAsia="Calibri" w:hAnsi="Century Gothic" w:cs="Times New Roman"/>
          <w:sz w:val="24"/>
          <w:szCs w:val="24"/>
          <w:lang w:eastAsia="it-IT"/>
        </w:rPr>
        <w:t xml:space="preserve">                                   </w:t>
      </w:r>
    </w:p>
    <w:p w:rsidR="00416EB4" w:rsidRDefault="000D6F9B" w:rsidP="00AF5D7B">
      <w:pPr>
        <w:spacing w:after="0" w:line="240" w:lineRule="auto"/>
        <w:jc w:val="both"/>
        <w:rPr>
          <w:rFonts w:ascii="Century Gothic" w:eastAsia="Calibri" w:hAnsi="Century Gothic" w:cs="Times New Roman"/>
          <w:sz w:val="24"/>
          <w:szCs w:val="24"/>
          <w:lang w:eastAsia="it-IT"/>
        </w:rPr>
      </w:pPr>
      <w:r>
        <w:rPr>
          <w:rFonts w:ascii="Century Gothic" w:eastAsia="Calibri" w:hAnsi="Century Gothic" w:cs="Times New Roman"/>
          <w:sz w:val="24"/>
          <w:szCs w:val="24"/>
          <w:lang w:eastAsia="it-IT"/>
        </w:rPr>
        <w:t xml:space="preserve">                                  </w:t>
      </w:r>
      <w:r w:rsidR="00416EB4">
        <w:rPr>
          <w:rFonts w:ascii="Century Gothic" w:eastAsia="Calibri" w:hAnsi="Century Gothic" w:cs="Times New Roman"/>
          <w:sz w:val="24"/>
          <w:szCs w:val="24"/>
          <w:lang w:eastAsia="it-IT"/>
        </w:rPr>
        <w:t xml:space="preserve">    Elio Lannutti (Adusbef) - Rosario </w:t>
      </w:r>
      <w:proofErr w:type="spellStart"/>
      <w:r w:rsidR="00416EB4">
        <w:rPr>
          <w:rFonts w:ascii="Century Gothic" w:eastAsia="Calibri" w:hAnsi="Century Gothic" w:cs="Times New Roman"/>
          <w:sz w:val="24"/>
          <w:szCs w:val="24"/>
          <w:lang w:eastAsia="it-IT"/>
        </w:rPr>
        <w:t>Trefiletti</w:t>
      </w:r>
      <w:proofErr w:type="spellEnd"/>
      <w:r w:rsidR="00416EB4">
        <w:rPr>
          <w:rFonts w:ascii="Century Gothic" w:eastAsia="Calibri" w:hAnsi="Century Gothic" w:cs="Times New Roman"/>
          <w:sz w:val="24"/>
          <w:szCs w:val="24"/>
          <w:lang w:eastAsia="it-IT"/>
        </w:rPr>
        <w:t xml:space="preserve">  (Federconsumatori)   </w:t>
      </w:r>
    </w:p>
    <w:p w:rsidR="00416EB4" w:rsidRPr="00AF5D7B" w:rsidRDefault="00416EB4" w:rsidP="00AF5D7B">
      <w:pPr>
        <w:spacing w:after="0" w:line="240" w:lineRule="auto"/>
        <w:jc w:val="both"/>
        <w:rPr>
          <w:rFonts w:ascii="Century Gothic" w:eastAsia="Calibri" w:hAnsi="Century Gothic" w:cs="Times New Roman"/>
          <w:sz w:val="24"/>
          <w:szCs w:val="24"/>
          <w:lang w:eastAsia="it-IT"/>
        </w:rPr>
      </w:pPr>
      <w:r>
        <w:rPr>
          <w:rFonts w:ascii="Century Gothic" w:eastAsia="Calibri" w:hAnsi="Century Gothic" w:cs="Times New Roman"/>
          <w:sz w:val="24"/>
          <w:szCs w:val="24"/>
          <w:lang w:eastAsia="it-IT"/>
        </w:rPr>
        <w:t xml:space="preserve">Roma, 5.10.2013                      </w:t>
      </w:r>
      <w:bookmarkStart w:id="0" w:name="_GoBack"/>
      <w:bookmarkEnd w:id="0"/>
    </w:p>
    <w:p w:rsidR="00416EB4" w:rsidRPr="00AF5D7B" w:rsidRDefault="00416EB4" w:rsidP="00AF5D7B">
      <w:pPr>
        <w:spacing w:after="0" w:line="240" w:lineRule="auto"/>
        <w:jc w:val="both"/>
        <w:rPr>
          <w:rFonts w:ascii="Century Gothic" w:eastAsia="Calibri" w:hAnsi="Century Gothic" w:cs="Times New Roman"/>
          <w:sz w:val="24"/>
          <w:szCs w:val="24"/>
          <w:lang w:eastAsia="it-IT"/>
        </w:rPr>
      </w:pPr>
    </w:p>
    <w:p w:rsidR="00AF5D7B" w:rsidRPr="00AF5D7B" w:rsidRDefault="00AF5D7B" w:rsidP="00AF5D7B">
      <w:pPr>
        <w:spacing w:after="0" w:line="240" w:lineRule="auto"/>
        <w:jc w:val="center"/>
        <w:rPr>
          <w:rFonts w:ascii="Century Gothic" w:eastAsia="Calibri" w:hAnsi="Century Gothic" w:cs="Times New Roman"/>
          <w:sz w:val="24"/>
          <w:szCs w:val="24"/>
          <w:lang w:eastAsia="it-IT"/>
        </w:rPr>
      </w:pPr>
      <w:r w:rsidRPr="00AF5D7B">
        <w:rPr>
          <w:rFonts w:ascii="Century Gothic" w:eastAsia="Calibri" w:hAnsi="Century Gothic" w:cs="Times New Roman"/>
          <w:sz w:val="24"/>
          <w:szCs w:val="24"/>
          <w:lang w:eastAsia="it-IT"/>
        </w:rPr>
        <w:t>Fonte Banca d’Italia. Titoli in circolazione al 1-10-2013</w:t>
      </w:r>
    </w:p>
    <w:p w:rsidR="00AF5D7B" w:rsidRPr="00AF5D7B" w:rsidRDefault="00AF5D7B" w:rsidP="00AF5D7B">
      <w:pPr>
        <w:spacing w:after="0" w:line="240" w:lineRule="auto"/>
        <w:jc w:val="both"/>
        <w:rPr>
          <w:rFonts w:ascii="Century Gothic" w:eastAsia="Calibri" w:hAnsi="Century Gothic" w:cs="Times New Roman"/>
          <w:sz w:val="24"/>
          <w:szCs w:val="24"/>
          <w:lang w:eastAsia="it-IT"/>
        </w:rPr>
      </w:pPr>
    </w:p>
    <w:tbl>
      <w:tblPr>
        <w:tblW w:w="5000" w:type="pct"/>
        <w:tblCellMar>
          <w:left w:w="70" w:type="dxa"/>
          <w:right w:w="70" w:type="dxa"/>
        </w:tblCellMar>
        <w:tblLook w:val="04A0" w:firstRow="1" w:lastRow="0" w:firstColumn="1" w:lastColumn="0" w:noHBand="0" w:noVBand="1"/>
      </w:tblPr>
      <w:tblGrid>
        <w:gridCol w:w="1088"/>
        <w:gridCol w:w="2668"/>
        <w:gridCol w:w="655"/>
        <w:gridCol w:w="958"/>
        <w:gridCol w:w="958"/>
        <w:gridCol w:w="862"/>
        <w:gridCol w:w="1375"/>
        <w:gridCol w:w="1214"/>
      </w:tblGrid>
      <w:tr w:rsidR="00AF5D7B" w:rsidRPr="00AF5D7B" w:rsidTr="00AF5D7B">
        <w:trPr>
          <w:trHeight w:val="408"/>
        </w:trPr>
        <w:tc>
          <w:tcPr>
            <w:tcW w:w="556" w:type="pct"/>
            <w:tcBorders>
              <w:top w:val="single" w:sz="4" w:space="0" w:color="auto"/>
              <w:left w:val="single" w:sz="4" w:space="0" w:color="auto"/>
              <w:bottom w:val="nil"/>
              <w:right w:val="single" w:sz="4" w:space="0" w:color="auto"/>
            </w:tcBorders>
            <w:shd w:val="clear" w:color="auto" w:fill="99CCFF"/>
            <w:hideMark/>
          </w:tcPr>
          <w:p w:rsidR="00AF5D7B" w:rsidRPr="00AF5D7B" w:rsidRDefault="00AF5D7B" w:rsidP="00AF5D7B">
            <w:pPr>
              <w:spacing w:after="0"/>
              <w:jc w:val="center"/>
              <w:rPr>
                <w:rFonts w:ascii="Calibri" w:eastAsia="Times New Roman" w:hAnsi="Calibri" w:cs="Arial"/>
                <w:b/>
                <w:sz w:val="14"/>
                <w:szCs w:val="16"/>
              </w:rPr>
            </w:pPr>
            <w:r w:rsidRPr="00AF5D7B">
              <w:rPr>
                <w:rFonts w:ascii="Calibri" w:eastAsia="Times New Roman" w:hAnsi="Calibri" w:cs="Arial"/>
                <w:b/>
                <w:sz w:val="14"/>
                <w:szCs w:val="16"/>
              </w:rPr>
              <w:t>ISIN</w:t>
            </w:r>
          </w:p>
        </w:tc>
        <w:tc>
          <w:tcPr>
            <w:tcW w:w="1364" w:type="pct"/>
            <w:tcBorders>
              <w:top w:val="single" w:sz="4" w:space="0" w:color="auto"/>
              <w:left w:val="nil"/>
              <w:bottom w:val="nil"/>
              <w:right w:val="single" w:sz="4" w:space="0" w:color="auto"/>
            </w:tcBorders>
            <w:shd w:val="clear" w:color="auto" w:fill="99CCFF"/>
            <w:hideMark/>
          </w:tcPr>
          <w:p w:rsidR="00AF5D7B" w:rsidRPr="00AF5D7B" w:rsidRDefault="00AF5D7B" w:rsidP="00AF5D7B">
            <w:pPr>
              <w:spacing w:after="0"/>
              <w:jc w:val="center"/>
              <w:rPr>
                <w:rFonts w:ascii="Calibri" w:eastAsia="Times New Roman" w:hAnsi="Calibri" w:cs="Arial"/>
                <w:b/>
                <w:sz w:val="14"/>
                <w:szCs w:val="16"/>
              </w:rPr>
            </w:pPr>
            <w:r w:rsidRPr="00AF5D7B">
              <w:rPr>
                <w:rFonts w:ascii="Calibri" w:eastAsia="Times New Roman" w:hAnsi="Calibri" w:cs="Arial"/>
                <w:b/>
                <w:sz w:val="14"/>
                <w:szCs w:val="16"/>
              </w:rPr>
              <w:t>descrizione</w:t>
            </w:r>
          </w:p>
        </w:tc>
        <w:tc>
          <w:tcPr>
            <w:tcW w:w="335" w:type="pct"/>
            <w:tcBorders>
              <w:top w:val="single" w:sz="4" w:space="0" w:color="auto"/>
              <w:left w:val="nil"/>
              <w:bottom w:val="nil"/>
              <w:right w:val="single" w:sz="4" w:space="0" w:color="auto"/>
            </w:tcBorders>
            <w:shd w:val="clear" w:color="auto" w:fill="99CCFF"/>
            <w:hideMark/>
          </w:tcPr>
          <w:p w:rsidR="00AF5D7B" w:rsidRPr="00AF5D7B" w:rsidRDefault="00AF5D7B" w:rsidP="00AF5D7B">
            <w:pPr>
              <w:spacing w:after="0"/>
              <w:jc w:val="center"/>
              <w:rPr>
                <w:rFonts w:ascii="Calibri" w:eastAsia="Times New Roman" w:hAnsi="Calibri" w:cs="Arial"/>
                <w:b/>
                <w:sz w:val="14"/>
                <w:szCs w:val="16"/>
              </w:rPr>
            </w:pPr>
            <w:r w:rsidRPr="00AF5D7B">
              <w:rPr>
                <w:rFonts w:ascii="Calibri" w:eastAsia="Times New Roman" w:hAnsi="Calibri" w:cs="Arial"/>
                <w:b/>
                <w:sz w:val="14"/>
                <w:szCs w:val="16"/>
              </w:rPr>
              <w:t>tipo titolo</w:t>
            </w:r>
          </w:p>
        </w:tc>
        <w:tc>
          <w:tcPr>
            <w:tcW w:w="490" w:type="pct"/>
            <w:tcBorders>
              <w:top w:val="single" w:sz="4" w:space="0" w:color="auto"/>
              <w:left w:val="nil"/>
              <w:bottom w:val="nil"/>
              <w:right w:val="single" w:sz="4" w:space="0" w:color="auto"/>
            </w:tcBorders>
            <w:shd w:val="clear" w:color="auto" w:fill="99CCFF"/>
            <w:hideMark/>
          </w:tcPr>
          <w:p w:rsidR="00AF5D7B" w:rsidRPr="00AF5D7B" w:rsidRDefault="00AF5D7B" w:rsidP="00AF5D7B">
            <w:pPr>
              <w:spacing w:after="0"/>
              <w:jc w:val="center"/>
              <w:rPr>
                <w:rFonts w:ascii="Calibri" w:eastAsia="Times New Roman" w:hAnsi="Calibri" w:cs="Arial"/>
                <w:b/>
                <w:sz w:val="14"/>
                <w:szCs w:val="16"/>
              </w:rPr>
            </w:pPr>
            <w:r w:rsidRPr="00AF5D7B">
              <w:rPr>
                <w:rFonts w:ascii="Calibri" w:eastAsia="Times New Roman" w:hAnsi="Calibri" w:cs="Arial"/>
                <w:b/>
                <w:sz w:val="14"/>
                <w:szCs w:val="16"/>
              </w:rPr>
              <w:t>data emissione</w:t>
            </w:r>
          </w:p>
        </w:tc>
        <w:tc>
          <w:tcPr>
            <w:tcW w:w="490" w:type="pct"/>
            <w:tcBorders>
              <w:top w:val="single" w:sz="4" w:space="0" w:color="auto"/>
              <w:left w:val="nil"/>
              <w:bottom w:val="nil"/>
              <w:right w:val="single" w:sz="4" w:space="0" w:color="auto"/>
            </w:tcBorders>
            <w:shd w:val="clear" w:color="auto" w:fill="99CCFF"/>
            <w:hideMark/>
          </w:tcPr>
          <w:p w:rsidR="00AF5D7B" w:rsidRPr="00AF5D7B" w:rsidRDefault="00AF5D7B" w:rsidP="00AF5D7B">
            <w:pPr>
              <w:spacing w:after="0"/>
              <w:jc w:val="center"/>
              <w:rPr>
                <w:rFonts w:ascii="Calibri" w:eastAsia="Times New Roman" w:hAnsi="Calibri" w:cs="Arial"/>
                <w:b/>
                <w:sz w:val="14"/>
                <w:szCs w:val="16"/>
              </w:rPr>
            </w:pPr>
            <w:r w:rsidRPr="00AF5D7B">
              <w:rPr>
                <w:rFonts w:ascii="Calibri" w:eastAsia="Times New Roman" w:hAnsi="Calibri" w:cs="Arial"/>
                <w:b/>
                <w:sz w:val="14"/>
                <w:szCs w:val="16"/>
              </w:rPr>
              <w:t>data scadenza</w:t>
            </w:r>
          </w:p>
        </w:tc>
        <w:tc>
          <w:tcPr>
            <w:tcW w:w="441" w:type="pct"/>
            <w:tcBorders>
              <w:top w:val="single" w:sz="4" w:space="0" w:color="auto"/>
              <w:left w:val="nil"/>
              <w:bottom w:val="nil"/>
              <w:right w:val="single" w:sz="4" w:space="0" w:color="auto"/>
            </w:tcBorders>
            <w:shd w:val="clear" w:color="auto" w:fill="99CCFF"/>
            <w:hideMark/>
          </w:tcPr>
          <w:p w:rsidR="00AF5D7B" w:rsidRPr="00AF5D7B" w:rsidRDefault="00AF5D7B" w:rsidP="00AF5D7B">
            <w:pPr>
              <w:spacing w:after="0"/>
              <w:jc w:val="center"/>
              <w:rPr>
                <w:rFonts w:ascii="Calibri" w:eastAsia="Times New Roman" w:hAnsi="Calibri" w:cs="Arial"/>
                <w:b/>
                <w:sz w:val="14"/>
                <w:szCs w:val="16"/>
              </w:rPr>
            </w:pPr>
            <w:r w:rsidRPr="00AF5D7B">
              <w:rPr>
                <w:rFonts w:ascii="Calibri" w:eastAsia="Times New Roman" w:hAnsi="Calibri" w:cs="Arial"/>
                <w:b/>
                <w:sz w:val="14"/>
                <w:szCs w:val="16"/>
              </w:rPr>
              <w:t>tasso fisso (F)/ variabile (V)</w:t>
            </w:r>
          </w:p>
        </w:tc>
        <w:tc>
          <w:tcPr>
            <w:tcW w:w="703" w:type="pct"/>
            <w:tcBorders>
              <w:top w:val="single" w:sz="4" w:space="0" w:color="auto"/>
              <w:left w:val="nil"/>
              <w:bottom w:val="nil"/>
              <w:right w:val="single" w:sz="4" w:space="0" w:color="auto"/>
            </w:tcBorders>
            <w:shd w:val="clear" w:color="auto" w:fill="99CCFF"/>
            <w:hideMark/>
          </w:tcPr>
          <w:p w:rsidR="00AF5D7B" w:rsidRPr="00AF5D7B" w:rsidRDefault="00AF5D7B" w:rsidP="00AF5D7B">
            <w:pPr>
              <w:spacing w:after="0"/>
              <w:jc w:val="center"/>
              <w:rPr>
                <w:rFonts w:ascii="Calibri" w:eastAsia="Times New Roman" w:hAnsi="Calibri" w:cs="Arial"/>
                <w:b/>
                <w:sz w:val="14"/>
                <w:szCs w:val="16"/>
              </w:rPr>
            </w:pPr>
            <w:r w:rsidRPr="00AF5D7B">
              <w:rPr>
                <w:rFonts w:ascii="Calibri" w:eastAsia="Times New Roman" w:hAnsi="Calibri" w:cs="Arial"/>
                <w:b/>
                <w:sz w:val="14"/>
                <w:szCs w:val="16"/>
              </w:rPr>
              <w:t>importo in circolazione (mln euro)</w:t>
            </w:r>
          </w:p>
        </w:tc>
        <w:tc>
          <w:tcPr>
            <w:tcW w:w="621" w:type="pct"/>
            <w:tcBorders>
              <w:top w:val="single" w:sz="4" w:space="0" w:color="auto"/>
              <w:left w:val="nil"/>
              <w:bottom w:val="nil"/>
              <w:right w:val="single" w:sz="4" w:space="0" w:color="auto"/>
            </w:tcBorders>
            <w:shd w:val="clear" w:color="auto" w:fill="99CCFF"/>
            <w:hideMark/>
          </w:tcPr>
          <w:p w:rsidR="00AF5D7B" w:rsidRPr="00AF5D7B" w:rsidRDefault="00AF5D7B" w:rsidP="00AF5D7B">
            <w:pPr>
              <w:spacing w:after="0"/>
              <w:jc w:val="center"/>
              <w:rPr>
                <w:rFonts w:ascii="Calibri" w:eastAsia="Times New Roman" w:hAnsi="Calibri" w:cs="Arial"/>
                <w:b/>
                <w:sz w:val="14"/>
                <w:szCs w:val="16"/>
              </w:rPr>
            </w:pPr>
            <w:r w:rsidRPr="00AF5D7B">
              <w:rPr>
                <w:rFonts w:ascii="Calibri" w:eastAsia="Times New Roman" w:hAnsi="Calibri" w:cs="Arial"/>
                <w:b/>
                <w:sz w:val="14"/>
                <w:szCs w:val="16"/>
              </w:rPr>
              <w:t>cedola per il semestre corrente</w:t>
            </w:r>
          </w:p>
        </w:tc>
      </w:tr>
      <w:tr w:rsidR="00AF5D7B" w:rsidRPr="00AF5D7B" w:rsidTr="00AF5D7B">
        <w:trPr>
          <w:trHeight w:val="204"/>
        </w:trPr>
        <w:tc>
          <w:tcPr>
            <w:tcW w:w="556" w:type="pct"/>
            <w:tcBorders>
              <w:top w:val="nil"/>
              <w:left w:val="single" w:sz="4" w:space="0" w:color="auto"/>
              <w:bottom w:val="single" w:sz="4" w:space="0" w:color="auto"/>
              <w:right w:val="single" w:sz="4" w:space="0" w:color="auto"/>
            </w:tcBorders>
            <w:shd w:val="clear" w:color="auto" w:fill="99CCFF"/>
            <w:hideMark/>
          </w:tcPr>
          <w:p w:rsidR="00AF5D7B" w:rsidRPr="00AF5D7B" w:rsidRDefault="00AF5D7B" w:rsidP="00AF5D7B">
            <w:pPr>
              <w:spacing w:after="0"/>
              <w:jc w:val="both"/>
              <w:rPr>
                <w:rFonts w:ascii="Century Gothic" w:eastAsia="Calibri" w:hAnsi="Century Gothic" w:cs="Times New Roman"/>
                <w:bCs/>
                <w:iCs/>
                <w:kern w:val="36"/>
              </w:rPr>
            </w:pPr>
          </w:p>
        </w:tc>
        <w:tc>
          <w:tcPr>
            <w:tcW w:w="1364" w:type="pct"/>
            <w:tcBorders>
              <w:top w:val="nil"/>
              <w:left w:val="nil"/>
              <w:bottom w:val="single" w:sz="4" w:space="0" w:color="auto"/>
              <w:right w:val="single" w:sz="4" w:space="0" w:color="auto"/>
            </w:tcBorders>
            <w:shd w:val="clear" w:color="auto" w:fill="99CCFF"/>
            <w:hideMark/>
          </w:tcPr>
          <w:p w:rsidR="00AF5D7B" w:rsidRPr="00AF5D7B" w:rsidRDefault="00AF5D7B" w:rsidP="00AF5D7B">
            <w:pPr>
              <w:spacing w:after="0"/>
              <w:jc w:val="both"/>
              <w:rPr>
                <w:rFonts w:ascii="Century Gothic" w:eastAsia="Calibri" w:hAnsi="Century Gothic" w:cs="Times New Roman"/>
                <w:bCs/>
                <w:iCs/>
                <w:kern w:val="36"/>
              </w:rPr>
            </w:pPr>
          </w:p>
        </w:tc>
        <w:tc>
          <w:tcPr>
            <w:tcW w:w="335" w:type="pct"/>
            <w:tcBorders>
              <w:top w:val="nil"/>
              <w:left w:val="nil"/>
              <w:bottom w:val="single" w:sz="4" w:space="0" w:color="auto"/>
              <w:right w:val="single" w:sz="4" w:space="0" w:color="auto"/>
            </w:tcBorders>
            <w:shd w:val="clear" w:color="auto" w:fill="99CCFF"/>
            <w:hideMark/>
          </w:tcPr>
          <w:p w:rsidR="00AF5D7B" w:rsidRPr="00AF5D7B" w:rsidRDefault="00AF5D7B" w:rsidP="00AF5D7B">
            <w:pPr>
              <w:spacing w:after="0"/>
              <w:jc w:val="both"/>
              <w:rPr>
                <w:rFonts w:ascii="Century Gothic" w:eastAsia="Calibri" w:hAnsi="Century Gothic" w:cs="Times New Roman"/>
                <w:bCs/>
                <w:iCs/>
                <w:kern w:val="36"/>
              </w:rPr>
            </w:pPr>
          </w:p>
        </w:tc>
        <w:tc>
          <w:tcPr>
            <w:tcW w:w="490" w:type="pct"/>
            <w:tcBorders>
              <w:top w:val="nil"/>
              <w:left w:val="nil"/>
              <w:bottom w:val="single" w:sz="4" w:space="0" w:color="auto"/>
              <w:right w:val="single" w:sz="4" w:space="0" w:color="auto"/>
            </w:tcBorders>
            <w:shd w:val="clear" w:color="auto" w:fill="99CCFF"/>
            <w:hideMark/>
          </w:tcPr>
          <w:p w:rsidR="00AF5D7B" w:rsidRPr="00AF5D7B" w:rsidRDefault="00AF5D7B" w:rsidP="00AF5D7B">
            <w:pPr>
              <w:spacing w:after="0"/>
              <w:jc w:val="both"/>
              <w:rPr>
                <w:rFonts w:ascii="Century Gothic" w:eastAsia="Calibri" w:hAnsi="Century Gothic" w:cs="Times New Roman"/>
                <w:bCs/>
                <w:iCs/>
                <w:kern w:val="36"/>
              </w:rPr>
            </w:pPr>
          </w:p>
        </w:tc>
        <w:tc>
          <w:tcPr>
            <w:tcW w:w="490" w:type="pct"/>
            <w:tcBorders>
              <w:top w:val="nil"/>
              <w:left w:val="nil"/>
              <w:bottom w:val="single" w:sz="4" w:space="0" w:color="auto"/>
              <w:right w:val="single" w:sz="4" w:space="0" w:color="auto"/>
            </w:tcBorders>
            <w:shd w:val="clear" w:color="auto" w:fill="99CCFF"/>
            <w:hideMark/>
          </w:tcPr>
          <w:p w:rsidR="00AF5D7B" w:rsidRPr="00AF5D7B" w:rsidRDefault="00AF5D7B" w:rsidP="00AF5D7B">
            <w:pPr>
              <w:spacing w:after="0"/>
              <w:jc w:val="both"/>
              <w:rPr>
                <w:rFonts w:ascii="Century Gothic" w:eastAsia="Calibri" w:hAnsi="Century Gothic" w:cs="Times New Roman"/>
                <w:bCs/>
                <w:iCs/>
                <w:kern w:val="36"/>
              </w:rPr>
            </w:pPr>
          </w:p>
        </w:tc>
        <w:tc>
          <w:tcPr>
            <w:tcW w:w="441" w:type="pct"/>
            <w:tcBorders>
              <w:top w:val="nil"/>
              <w:left w:val="nil"/>
              <w:bottom w:val="single" w:sz="4" w:space="0" w:color="auto"/>
              <w:right w:val="single" w:sz="4" w:space="0" w:color="auto"/>
            </w:tcBorders>
            <w:shd w:val="clear" w:color="auto" w:fill="99CCFF"/>
            <w:hideMark/>
          </w:tcPr>
          <w:p w:rsidR="00AF5D7B" w:rsidRPr="00AF5D7B" w:rsidRDefault="00AF5D7B" w:rsidP="00AF5D7B">
            <w:pPr>
              <w:spacing w:after="0"/>
              <w:jc w:val="both"/>
              <w:rPr>
                <w:rFonts w:ascii="Century Gothic" w:eastAsia="Calibri" w:hAnsi="Century Gothic" w:cs="Times New Roman"/>
                <w:bCs/>
                <w:iCs/>
                <w:kern w:val="36"/>
              </w:rPr>
            </w:pPr>
          </w:p>
        </w:tc>
        <w:tc>
          <w:tcPr>
            <w:tcW w:w="703" w:type="pct"/>
            <w:tcBorders>
              <w:top w:val="nil"/>
              <w:left w:val="nil"/>
              <w:bottom w:val="single" w:sz="4" w:space="0" w:color="auto"/>
              <w:right w:val="single" w:sz="4" w:space="0" w:color="auto"/>
            </w:tcBorders>
            <w:shd w:val="clear" w:color="auto" w:fill="99CCFF"/>
            <w:hideMark/>
          </w:tcPr>
          <w:p w:rsidR="00AF5D7B" w:rsidRPr="00AF5D7B" w:rsidRDefault="00AF5D7B" w:rsidP="00AF5D7B">
            <w:pPr>
              <w:spacing w:after="0"/>
              <w:jc w:val="center"/>
              <w:rPr>
                <w:rFonts w:ascii="Calibri" w:eastAsia="Times New Roman" w:hAnsi="Calibri" w:cs="Arial"/>
                <w:b/>
                <w:sz w:val="14"/>
                <w:szCs w:val="16"/>
              </w:rPr>
            </w:pPr>
            <w:r w:rsidRPr="00AF5D7B">
              <w:rPr>
                <w:rFonts w:ascii="Calibri" w:eastAsia="Times New Roman" w:hAnsi="Calibri" w:cs="Arial"/>
                <w:b/>
                <w:sz w:val="20"/>
                <w:szCs w:val="16"/>
              </w:rPr>
              <w:t>1-10-2013</w:t>
            </w:r>
          </w:p>
        </w:tc>
        <w:tc>
          <w:tcPr>
            <w:tcW w:w="621" w:type="pct"/>
            <w:tcBorders>
              <w:top w:val="nil"/>
              <w:left w:val="nil"/>
              <w:bottom w:val="single" w:sz="4" w:space="0" w:color="auto"/>
              <w:right w:val="single" w:sz="4" w:space="0" w:color="auto"/>
            </w:tcBorders>
            <w:shd w:val="clear" w:color="auto" w:fill="99CCFF"/>
            <w:hideMark/>
          </w:tcPr>
          <w:p w:rsidR="00AF5D7B" w:rsidRPr="00AF5D7B" w:rsidRDefault="00AF5D7B" w:rsidP="00AF5D7B">
            <w:pPr>
              <w:spacing w:after="0"/>
              <w:jc w:val="both"/>
              <w:rPr>
                <w:rFonts w:ascii="Century Gothic" w:eastAsia="Calibri" w:hAnsi="Century Gothic" w:cs="Times New Roman"/>
                <w:bCs/>
                <w:iCs/>
                <w:kern w:val="36"/>
              </w:rPr>
            </w:pPr>
          </w:p>
        </w:tc>
      </w:tr>
      <w:tr w:rsidR="00AF5D7B" w:rsidRPr="00AF5D7B" w:rsidTr="00AF5D7B">
        <w:trPr>
          <w:trHeight w:val="276"/>
        </w:trPr>
        <w:tc>
          <w:tcPr>
            <w:tcW w:w="556" w:type="pct"/>
            <w:tcBorders>
              <w:top w:val="nil"/>
              <w:left w:val="nil"/>
              <w:bottom w:val="single" w:sz="4" w:space="0" w:color="auto"/>
              <w:right w:val="nil"/>
            </w:tcBorders>
            <w:noWrap/>
            <w:vAlign w:val="bottom"/>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 </w:t>
            </w:r>
          </w:p>
        </w:tc>
        <w:tc>
          <w:tcPr>
            <w:tcW w:w="1364" w:type="pct"/>
            <w:tcBorders>
              <w:top w:val="nil"/>
              <w:left w:val="nil"/>
              <w:bottom w:val="single" w:sz="4" w:space="0" w:color="auto"/>
              <w:right w:val="nil"/>
            </w:tcBorders>
            <w:noWrap/>
            <w:vAlign w:val="bottom"/>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 </w:t>
            </w:r>
          </w:p>
        </w:tc>
        <w:tc>
          <w:tcPr>
            <w:tcW w:w="335" w:type="pct"/>
            <w:tcBorders>
              <w:top w:val="nil"/>
              <w:left w:val="nil"/>
              <w:bottom w:val="single" w:sz="4" w:space="0" w:color="auto"/>
              <w:right w:val="nil"/>
            </w:tcBorders>
            <w:noWrap/>
            <w:vAlign w:val="bottom"/>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 </w:t>
            </w:r>
          </w:p>
        </w:tc>
        <w:tc>
          <w:tcPr>
            <w:tcW w:w="490" w:type="pct"/>
            <w:tcBorders>
              <w:top w:val="nil"/>
              <w:left w:val="nil"/>
              <w:bottom w:val="single" w:sz="4" w:space="0" w:color="auto"/>
              <w:right w:val="nil"/>
            </w:tcBorders>
            <w:noWrap/>
            <w:vAlign w:val="bottom"/>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 </w:t>
            </w:r>
          </w:p>
        </w:tc>
        <w:tc>
          <w:tcPr>
            <w:tcW w:w="490" w:type="pct"/>
            <w:tcBorders>
              <w:top w:val="nil"/>
              <w:left w:val="nil"/>
              <w:bottom w:val="single" w:sz="4" w:space="0" w:color="auto"/>
              <w:right w:val="nil"/>
            </w:tcBorders>
            <w:noWrap/>
            <w:vAlign w:val="bottom"/>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 </w:t>
            </w:r>
          </w:p>
        </w:tc>
        <w:tc>
          <w:tcPr>
            <w:tcW w:w="441" w:type="pct"/>
            <w:tcBorders>
              <w:top w:val="nil"/>
              <w:left w:val="nil"/>
              <w:bottom w:val="single" w:sz="4" w:space="0" w:color="auto"/>
              <w:right w:val="nil"/>
            </w:tcBorders>
            <w:noWrap/>
            <w:vAlign w:val="bottom"/>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 </w:t>
            </w:r>
          </w:p>
        </w:tc>
        <w:tc>
          <w:tcPr>
            <w:tcW w:w="703" w:type="pct"/>
            <w:tcBorders>
              <w:top w:val="nil"/>
              <w:left w:val="nil"/>
              <w:bottom w:val="single" w:sz="4" w:space="0" w:color="auto"/>
              <w:right w:val="nil"/>
            </w:tcBorders>
            <w:noWrap/>
            <w:vAlign w:val="bottom"/>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 </w:t>
            </w:r>
          </w:p>
        </w:tc>
        <w:tc>
          <w:tcPr>
            <w:tcW w:w="621" w:type="pct"/>
            <w:tcBorders>
              <w:top w:val="nil"/>
              <w:left w:val="nil"/>
              <w:bottom w:val="single" w:sz="4" w:space="0" w:color="auto"/>
              <w:right w:val="nil"/>
            </w:tcBorders>
            <w:noWrap/>
            <w:vAlign w:val="bottom"/>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 </w:t>
            </w:r>
          </w:p>
        </w:tc>
      </w:tr>
      <w:tr w:rsidR="00AF5D7B" w:rsidRPr="00AF5D7B" w:rsidTr="00AF5D7B">
        <w:trPr>
          <w:trHeight w:val="276"/>
        </w:trPr>
        <w:tc>
          <w:tcPr>
            <w:tcW w:w="556" w:type="pct"/>
            <w:tcBorders>
              <w:top w:val="single" w:sz="4" w:space="0" w:color="auto"/>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IT0004854888</w:t>
            </w:r>
          </w:p>
        </w:tc>
        <w:tc>
          <w:tcPr>
            <w:tcW w:w="1364" w:type="pct"/>
            <w:tcBorders>
              <w:top w:val="single" w:sz="4" w:space="0" w:color="auto"/>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364 gg 15.10.2012 - 14.10.2013</w:t>
            </w:r>
          </w:p>
        </w:tc>
        <w:tc>
          <w:tcPr>
            <w:tcW w:w="335" w:type="pct"/>
            <w:tcBorders>
              <w:top w:val="single" w:sz="4" w:space="0" w:color="auto"/>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single" w:sz="4" w:space="0" w:color="auto"/>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15/10/2012</w:t>
            </w:r>
          </w:p>
        </w:tc>
        <w:tc>
          <w:tcPr>
            <w:tcW w:w="490" w:type="pct"/>
            <w:tcBorders>
              <w:top w:val="single" w:sz="4" w:space="0" w:color="auto"/>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14/10/2013</w:t>
            </w:r>
          </w:p>
        </w:tc>
        <w:tc>
          <w:tcPr>
            <w:tcW w:w="441" w:type="pct"/>
            <w:tcBorders>
              <w:top w:val="single" w:sz="4" w:space="0" w:color="auto"/>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single" w:sz="4" w:space="0" w:color="auto"/>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9.200</w:t>
            </w:r>
          </w:p>
        </w:tc>
        <w:tc>
          <w:tcPr>
            <w:tcW w:w="621" w:type="pct"/>
            <w:tcBorders>
              <w:top w:val="single" w:sz="4" w:space="0" w:color="auto"/>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IT0004909377</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184 gg 30.4.2013 - 31.10.2013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30/04/2013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31/10/2013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9.200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IT0004653108</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2,25% 1.11.2010 - 1.11.2013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01/11/2013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17.819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IT0004867971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364 gg 15.11.2012 - 14.11.2013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15/11/2012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14/11/2013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7.475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IT0004920085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182 gg 31.5.2013 - 29.11.2013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31/05/2013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29/11/2013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9.200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IT0004874092</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364 gg 14.12.2012 - 13.12.2013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14/12/2012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13/12/2013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7.475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IT0004448863</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3,75% 15.12.2008 - 15.12.2013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15/12/2008</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15/12/2013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20.006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1,875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IT0004921620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219 gg 14.5.2013 - 19.12.2013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14/05/2013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19/12/2013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5.500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IT0004960495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101 gg 13.9.2013 - 23.12.2013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13/09/2013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23/12/2013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3.000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IT0004932072</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186 gg 28.6.2013 - 31.12.2013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28/06/2013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31/12/2013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9.200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1364" w:type="pct"/>
            <w:tcBorders>
              <w:top w:val="nil"/>
              <w:left w:val="single" w:sz="4" w:space="0" w:color="auto"/>
              <w:bottom w:val="nil"/>
              <w:right w:val="single" w:sz="4" w:space="0" w:color="auto"/>
            </w:tcBorders>
            <w:noWrap/>
            <w:vAlign w:val="center"/>
          </w:tcPr>
          <w:p w:rsidR="00AF5D7B" w:rsidRPr="00AF5D7B" w:rsidRDefault="00AF5D7B" w:rsidP="00AF5D7B">
            <w:pPr>
              <w:spacing w:after="0"/>
              <w:rPr>
                <w:rFonts w:ascii="Calibri" w:eastAsia="Times New Roman" w:hAnsi="Calibri" w:cs="Arial"/>
                <w:sz w:val="14"/>
                <w:szCs w:val="20"/>
              </w:rPr>
            </w:pPr>
          </w:p>
        </w:tc>
        <w:tc>
          <w:tcPr>
            <w:tcW w:w="335"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490"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490"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441"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703"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621"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IT0004885965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365 gg 14.1.2013 - 14.1.2014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14/01/2013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14/01/2014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9.775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IT0004793045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CTZ 31.1.2012 - 31.1.2014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CTZ</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31/01/2012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31/01/2014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14.492</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IT0004940109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184 gg 31.7.2013 - 31.1.2014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31/07/2013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31/01/2014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9.775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IT0004892649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365 gg 14.2.2013 - 14.2.2014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14/02/2013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14/02/2014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9.665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IT0004954720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182 gg 30.8.2013 - 28.2.2014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30/08/2013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28/02/2014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9.775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IT0004224041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CCT 1.3.2007 - 1.3.2014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CCT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01/03/2007</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V</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13.434</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0,590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IT0004899099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365 gg 14.3.2013 - 14.3.2014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14/03/2013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14/03/2014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7.750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IT0004958176</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182 gg 30.9.2013 - 31.3.2014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30/09/2013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31/03/2014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8.570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IT0004707995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3,0% 1.4.2011 - 1.4.2014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01/04/2011</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01/04/2014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14.798</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IT0004909369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367 gg 12.4.2013 - 14.4.2014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12/04/2013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14/04/2014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8.870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IT0004920077</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365 gg 14.5.2013 - 14.5.2014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14/05/2013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14/05/2014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7.000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IT0004820251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CTZ 31.5.2012 - 30.5.2014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CTZ</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31/05/2012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30/05/2014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12.816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IT0004505076</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3,50% 1.6.2009 - 1.6.2014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01/06/2009</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01/06/2014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19.422</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1,750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IT0004932064</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364 gg 14.6.2013 - 13.6.2014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14/06/2013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13/06/2014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7.000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IT0004750409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4,25% 1.7.2011 - 1.7.2014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01/07/2011</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01/07/2014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13.890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2,125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IT0004940091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367 gg 12.7.2013 - 14.7.2014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12/07/2013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14/07/2014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7.000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IT0003618383</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4,25% 1.2.2004 - 1.8.2014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01/02/2004</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27.249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2,125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IT0004954712</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365 gg 14.8.2013 - 14.8.2014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14/08/2013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14/08/2014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8.625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IT0004958168</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BOT 364 gg 13.9.2013 - 12.9.2014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BOT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13/09/2013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12/09/2014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9.775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IT0003625909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 xml:space="preserve">BTP </w:t>
            </w:r>
            <w:proofErr w:type="spellStart"/>
            <w:r w:rsidRPr="00AF5D7B">
              <w:rPr>
                <w:rFonts w:ascii="Calibri" w:eastAsia="Times New Roman" w:hAnsi="Calibri" w:cs="Arial"/>
                <w:sz w:val="14"/>
                <w:szCs w:val="20"/>
              </w:rPr>
              <w:t>ind</w:t>
            </w:r>
            <w:proofErr w:type="spellEnd"/>
            <w:r w:rsidRPr="00AF5D7B">
              <w:rPr>
                <w:rFonts w:ascii="Calibri" w:eastAsia="Times New Roman" w:hAnsi="Calibri" w:cs="Arial"/>
                <w:sz w:val="14"/>
                <w:szCs w:val="20"/>
              </w:rPr>
              <w:t>. 2,15% 15.9.2003 - 15.9.2014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15/09/2003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15.050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1,075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IT0004853807</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CTZ 28.9.2012 - 30.9.2014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CTZ</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28/09/2012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30/09/2014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14.292</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IT0004780380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6,0% 15.11.2011 - 15.11.2014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15/11/2011</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15/11/2014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14.495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3,000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IT0004321813</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CCT 1.12.2007 - 1.12.2014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CCT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01/12/2007</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01/12/2014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V</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12.951</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0,420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IT0004890890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CTZ 31.1.2013 - 31.12.2014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CTZ</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31/01/2013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31/12/2014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15.045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1364" w:type="pct"/>
            <w:tcBorders>
              <w:top w:val="nil"/>
              <w:left w:val="single" w:sz="4" w:space="0" w:color="auto"/>
              <w:bottom w:val="nil"/>
              <w:right w:val="single" w:sz="4" w:space="0" w:color="auto"/>
            </w:tcBorders>
            <w:noWrap/>
            <w:vAlign w:val="center"/>
          </w:tcPr>
          <w:p w:rsidR="00AF5D7B" w:rsidRPr="00AF5D7B" w:rsidRDefault="00AF5D7B" w:rsidP="00AF5D7B">
            <w:pPr>
              <w:spacing w:after="0"/>
              <w:rPr>
                <w:rFonts w:ascii="Calibri" w:eastAsia="Times New Roman" w:hAnsi="Calibri" w:cs="Arial"/>
                <w:sz w:val="14"/>
                <w:szCs w:val="20"/>
              </w:rPr>
            </w:pPr>
          </w:p>
        </w:tc>
        <w:tc>
          <w:tcPr>
            <w:tcW w:w="335"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490"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490"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441"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703"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621"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IT0003719918</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4,25% 1.8.2004 - 1.2.2015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01/08/2004</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01/02/2015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21.350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2,125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IT0004805070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2,50% 1.3.2012 - 1.3.2015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01/03/2015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14.733</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IT0004568272</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3,0% 15.1.2010 - 15.4.2015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15/01/2010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15/04/2015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19.834</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IT0004615917</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3,0% 15.6.2010 - 15.6.2015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15/06/2010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15/06/2015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18.642</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IT0004938186</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CTZ 28.6.2013 - 30.6.2015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CTZ</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28/06/2013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30/06/2015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13.354</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zero coupon</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IT0004840788</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4,50% 15.7.2012 - 15.7.2015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15/07/2012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15/07/2015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16.906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IT0003844534</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3,75% 1.2.2005 - 1.8.2015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01/02/2005</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01/08/2015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25.809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1,875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IT0004404965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CCT 1.9.2008 - 1.9.2015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CCT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01/09/2008</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01/09/2015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V</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11.649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0,590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lastRenderedPageBreak/>
              <w:t>IT0004656275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3,0% 1.11.2010 - 1.11.2015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01/11/2015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17.448</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IT0004880990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2,75% 1.12.2012 - 1.12.2015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01/12/2012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01/12/2015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15.867</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IT0004620305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CCTEU 15.6.2010 - 15.12.2015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CCTEU</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15/06/2010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15/12/2015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V</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17.329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0,569</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1364" w:type="pct"/>
            <w:tcBorders>
              <w:top w:val="nil"/>
              <w:left w:val="single" w:sz="4" w:space="0" w:color="auto"/>
              <w:bottom w:val="nil"/>
              <w:right w:val="single" w:sz="4" w:space="0" w:color="auto"/>
            </w:tcBorders>
            <w:noWrap/>
            <w:vAlign w:val="center"/>
          </w:tcPr>
          <w:p w:rsidR="00AF5D7B" w:rsidRPr="00AF5D7B" w:rsidRDefault="00AF5D7B" w:rsidP="00AF5D7B">
            <w:pPr>
              <w:spacing w:after="0"/>
              <w:rPr>
                <w:rFonts w:ascii="Calibri" w:eastAsia="Times New Roman" w:hAnsi="Calibri" w:cs="Arial"/>
                <w:sz w:val="14"/>
                <w:szCs w:val="20"/>
              </w:rPr>
            </w:pPr>
          </w:p>
        </w:tc>
        <w:tc>
          <w:tcPr>
            <w:tcW w:w="335"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490"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490"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441"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703"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c>
          <w:tcPr>
            <w:tcW w:w="621" w:type="pct"/>
            <w:tcBorders>
              <w:top w:val="nil"/>
              <w:left w:val="single" w:sz="4" w:space="0" w:color="auto"/>
              <w:bottom w:val="nil"/>
              <w:right w:val="single" w:sz="4" w:space="0" w:color="auto"/>
            </w:tcBorders>
            <w:noWrap/>
            <w:vAlign w:val="center"/>
          </w:tcPr>
          <w:p w:rsidR="00AF5D7B" w:rsidRPr="00AF5D7B" w:rsidRDefault="00AF5D7B" w:rsidP="00AF5D7B">
            <w:pPr>
              <w:spacing w:after="0"/>
              <w:jc w:val="right"/>
              <w:rPr>
                <w:rFonts w:ascii="Calibri" w:eastAsia="Times New Roman" w:hAnsi="Calibri" w:cs="Arial"/>
                <w:sz w:val="14"/>
                <w:szCs w:val="20"/>
              </w:rPr>
            </w:pP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IT0004806896</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Italia 26.3.2012 - 26.3.2016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26/03/2012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26/03/2016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2.963</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IT0004806888</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Italia 26.3.2012 - 26.3.2016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26/03/2012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26/03/2016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4.328</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IT0004712748</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3,75% 15.4.2011 - 15.4.2016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15/04/2011</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15/04/2016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16.235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1,875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IT0004917792</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2,25% 15.4.2013 - 15.5.2016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15/04/2013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15/05/2016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14.828</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IT0004821424</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Italia 11.6.2012 - 11.6.2016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11/06/2012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11/06/2016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856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1,775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IT0004821432</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Italia 11.6.2012 - 11.6.2016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11/06/2012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11/06/2016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882</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1,775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IT0004518715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CCT 1.7.2009 - 1.7.2016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CCT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01/07/2009</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01/07/2016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V</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14.421</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0,680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IT0004019581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3,75% 1.2.2006 - 1.8.2016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01/02/2006</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26.738</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1,875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IT0004682107</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 xml:space="preserve">BTP </w:t>
            </w:r>
            <w:proofErr w:type="spellStart"/>
            <w:r w:rsidRPr="00AF5D7B">
              <w:rPr>
                <w:rFonts w:ascii="Calibri" w:eastAsia="Times New Roman" w:hAnsi="Calibri" w:cs="Arial"/>
                <w:sz w:val="14"/>
                <w:szCs w:val="20"/>
              </w:rPr>
              <w:t>ind</w:t>
            </w:r>
            <w:proofErr w:type="spellEnd"/>
            <w:r w:rsidRPr="00AF5D7B">
              <w:rPr>
                <w:rFonts w:ascii="Calibri" w:eastAsia="Times New Roman" w:hAnsi="Calibri" w:cs="Arial"/>
                <w:sz w:val="14"/>
                <w:szCs w:val="20"/>
              </w:rPr>
              <w:t>. 2,10% 15.9.2010 - 15.9.2016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9.123</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1,050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IT0004761950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4,75% 15.9.2011 - 15.9.2016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15/09/2011</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15.988</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2,375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IT0004863608</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Italia 22.10.2012 - 22.10.2016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22/10/2012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22/10/2016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12.359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IT0004863590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Italia 22.10.2012 - 22.10.2016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22/10/2012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22/10/2016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5.659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IT0004960826</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2,75% 16.9.2013 - 15.11.2016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16/09/2013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15/11/2016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4.927</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0,448</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IT0004874399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CCT tasso fisso 1.12.2012 - 1.12.2016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CCTTF</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01/12/2012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01/12/2016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IT0004164775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4,0% 1.8.2006 - 1.2.2017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01/08/2006</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01/02/2017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25.598</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2,000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IT0004584204</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CCT 1.3.2010 - 1.3.2017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CCT</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01/03/2017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V</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7.865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0,590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IT0004917941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Italia 22.4.2013 - 22.4.2017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22/04/2013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22/04/2017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7.302</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IT0004917958</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Italia 22.4.2013 - 22.4.2017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22/04/2013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22/04/2017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9.755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IT0004793474</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4,75% 1.2.2012 - 1.5.2017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01/05/2017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13.646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2,375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IT0004820426</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4,75% 1.6.2012 - 1.6.2017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01/06/2012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01/06/2017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15.809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2,375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IT0004809809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CCTEU 15.12.2011 - 15.6.2017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CCTEU</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15/12/2011</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15/06/2017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V</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9.534</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1,434</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IT0003242747</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5,25% 1.2.2002 - 1.8.2017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01/02/2002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01/08/2017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24.300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2,625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IT0004085210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 xml:space="preserve">BTP </w:t>
            </w:r>
            <w:proofErr w:type="spellStart"/>
            <w:r w:rsidRPr="00AF5D7B">
              <w:rPr>
                <w:rFonts w:ascii="Calibri" w:eastAsia="Times New Roman" w:hAnsi="Calibri" w:cs="Arial"/>
                <w:sz w:val="14"/>
                <w:szCs w:val="20"/>
              </w:rPr>
              <w:t>ind</w:t>
            </w:r>
            <w:proofErr w:type="spellEnd"/>
            <w:r w:rsidRPr="00AF5D7B">
              <w:rPr>
                <w:rFonts w:ascii="Calibri" w:eastAsia="Times New Roman" w:hAnsi="Calibri" w:cs="Arial"/>
                <w:sz w:val="14"/>
                <w:szCs w:val="20"/>
              </w:rPr>
              <w:t>. 2,10% 15.3.2006 - 15.9.2017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15/03/2006</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15/09/2017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14.100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1,050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IT0004652175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CCTEU 15.10.2010 - 15.10.2017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CCTEU</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15/10/2010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15/10/2017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V</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15.646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0,574</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IT0004867070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3,50% 1.11.2012 - 1.11.2017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01/11/2017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17.341</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1,750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IT0004273493</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4,50% 1.8.2007 - 1.2.2018</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01/08/2007</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01/02/2018</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24.806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IT0004716319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CCTEU 15.4.2011 - 15.4.2018</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CCTEU</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15/04/2011</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15/04/2018</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V</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13.339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0,676</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IT0004907843</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3,50% 2.4.2013 - 1.6.2018</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02/04/2013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01/06/2018</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17.451</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1,750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IT0004361041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4,50% 1.2.2008 - 1.8.2018</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01/02/2008</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01/08/2018</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25.499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IT0004890882</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 xml:space="preserve">BTP </w:t>
            </w:r>
            <w:proofErr w:type="spellStart"/>
            <w:r w:rsidRPr="00AF5D7B">
              <w:rPr>
                <w:rFonts w:ascii="Calibri" w:eastAsia="Times New Roman" w:hAnsi="Calibri" w:cs="Arial"/>
                <w:sz w:val="14"/>
                <w:szCs w:val="20"/>
              </w:rPr>
              <w:t>ind</w:t>
            </w:r>
            <w:proofErr w:type="spellEnd"/>
            <w:r w:rsidRPr="00AF5D7B">
              <w:rPr>
                <w:rFonts w:ascii="Calibri" w:eastAsia="Times New Roman" w:hAnsi="Calibri" w:cs="Arial"/>
                <w:sz w:val="14"/>
                <w:szCs w:val="20"/>
              </w:rPr>
              <w:t>. 1,70% 31.1.2013 - 15.9.2018</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31/01/2013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15/09/2018</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5.902</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0,850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IT0004922909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CCTEU 1.5.2013 - 1.11.2018</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CCTEU</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01/05/2013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01/11/2018</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V</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8.100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1,082</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IT0004957574</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3,50% 2.9.2013 - 1.12.2018</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02/09/2013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01/12/2018</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7.315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0,861</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IT0003493258</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4,25% 1.2.2003 - 1.2.2019</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01/02/2003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01/02/2019</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24.630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2,125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IT0004423957</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4,50% 1.9.2008 - 1.3.2019</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01/09/2008</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01/03/2019</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24.149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IT0004489610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4,25% 1.3.2009 - 1.9.2019</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01/03/2009</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01/09/2019</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25.012</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2,125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IT0004380546</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 xml:space="preserve">BTP </w:t>
            </w:r>
            <w:proofErr w:type="spellStart"/>
            <w:r w:rsidRPr="00AF5D7B">
              <w:rPr>
                <w:rFonts w:ascii="Calibri" w:eastAsia="Times New Roman" w:hAnsi="Calibri" w:cs="Arial"/>
                <w:sz w:val="14"/>
                <w:szCs w:val="20"/>
              </w:rPr>
              <w:t>ind</w:t>
            </w:r>
            <w:proofErr w:type="spellEnd"/>
            <w:r w:rsidRPr="00AF5D7B">
              <w:rPr>
                <w:rFonts w:ascii="Calibri" w:eastAsia="Times New Roman" w:hAnsi="Calibri" w:cs="Arial"/>
                <w:sz w:val="14"/>
                <w:szCs w:val="20"/>
              </w:rPr>
              <w:t>. 2,35% 15.3.2008 - 15.9.2019</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15/03/2008</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15/09/2019</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17.321</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IT0003644769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4,50% 1.2.2004 - 1.2.2020</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01/02/2004</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01/02/2020</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22.660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IT0004536949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4,25% 1.9.2009 - 1.3.2020</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01/09/2009</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01/03/2020</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24.331</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2,125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IT0004594930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4,0% 1.3.2010 - 1.9.2020</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01/09/2020</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24.922</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2,000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IT0004634132</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3,75% 1.9.2010 - 1.3.2021</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01/03/2021</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24.269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1,875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IT0004009673</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3,75% 1.2.2006 - 1.8.2021</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01/02/2006</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01/08/2021</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28.148</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1,875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IT0004695075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4,75% 1.3.2011 - 1.9.2021</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01/03/2011</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01/09/2021</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24.986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2,375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IT0004604671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 xml:space="preserve">BTP </w:t>
            </w:r>
            <w:proofErr w:type="spellStart"/>
            <w:r w:rsidRPr="00AF5D7B">
              <w:rPr>
                <w:rFonts w:ascii="Calibri" w:eastAsia="Times New Roman" w:hAnsi="Calibri" w:cs="Arial"/>
                <w:sz w:val="14"/>
                <w:szCs w:val="20"/>
              </w:rPr>
              <w:t>ind</w:t>
            </w:r>
            <w:proofErr w:type="spellEnd"/>
            <w:r w:rsidRPr="00AF5D7B">
              <w:rPr>
                <w:rFonts w:ascii="Calibri" w:eastAsia="Times New Roman" w:hAnsi="Calibri" w:cs="Arial"/>
                <w:sz w:val="14"/>
                <w:szCs w:val="20"/>
              </w:rPr>
              <w:t>. 2,10% 15.3.2010 - 15.9.2021</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15/03/2010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15/09/2021</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16.390</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1,050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IT0004759673</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5,0% 1.9.2011 - 1.3.2022</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01/09/2011</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01/03/2022</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18.405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2,500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IT0004801541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5,50% 1.3.2012 - 1.9.2022</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01/09/2022</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19.586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2,750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IT0004848831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5,50% 1.5.2012 - 1.11.2022</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01/05/2012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01/11/2022</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21.378</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2,750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IT0004898034</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4,50% 1.3.2013 - 1.5.2023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01/05/2023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18.071</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lastRenderedPageBreak/>
              <w:t>IT0004356843</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4,75% 1.2.2008 - 1.8.2023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01/02/2008</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01/08/2023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24.799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2,375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IT0004243512</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 xml:space="preserve">BTP </w:t>
            </w:r>
            <w:proofErr w:type="spellStart"/>
            <w:r w:rsidRPr="00AF5D7B">
              <w:rPr>
                <w:rFonts w:ascii="Calibri" w:eastAsia="Times New Roman" w:hAnsi="Calibri" w:cs="Arial"/>
                <w:sz w:val="14"/>
                <w:szCs w:val="20"/>
              </w:rPr>
              <w:t>ind</w:t>
            </w:r>
            <w:proofErr w:type="spellEnd"/>
            <w:r w:rsidRPr="00AF5D7B">
              <w:rPr>
                <w:rFonts w:ascii="Calibri" w:eastAsia="Times New Roman" w:hAnsi="Calibri" w:cs="Arial"/>
                <w:sz w:val="14"/>
                <w:szCs w:val="20"/>
              </w:rPr>
              <w:t>. 2,60% 15.3.2007 - 15.9.2023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15/03/2007</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15/09/2023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15.641</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IT0000366655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9,0% 1.11.1993 - 1.11.2023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01/11/1993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01/11/2023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11.226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4,500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IT0000366721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8,50% 22.12.1993 - 22.12.2023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22/12/1993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22/12/2023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3.099</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4,250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IT0000366804</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1.2.1994 - 1.2.2024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01/02/1994</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01/02/2024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563</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0,000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IT0004953417</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4,50% 1.8.2013 - 1.3.2024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01/03/2024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10.615</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IT0004513641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5,0% 1.3.2009 - 1.3.2025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01/03/2009</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01/03/2025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22.206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2,500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IT0004644735</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4,50% 1.9.2010 - 1.3.2026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01/09/2010</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01/03/2026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20.733</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IT0004735152</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 xml:space="preserve">BTP </w:t>
            </w:r>
            <w:proofErr w:type="spellStart"/>
            <w:r w:rsidRPr="00AF5D7B">
              <w:rPr>
                <w:rFonts w:ascii="Calibri" w:eastAsia="Times New Roman" w:hAnsi="Calibri" w:cs="Arial"/>
                <w:sz w:val="14"/>
                <w:szCs w:val="20"/>
              </w:rPr>
              <w:t>ind</w:t>
            </w:r>
            <w:proofErr w:type="spellEnd"/>
            <w:r w:rsidRPr="00AF5D7B">
              <w:rPr>
                <w:rFonts w:ascii="Calibri" w:eastAsia="Times New Roman" w:hAnsi="Calibri" w:cs="Arial"/>
                <w:sz w:val="14"/>
                <w:szCs w:val="20"/>
              </w:rPr>
              <w:t>. 3,10% 15.3.2011 - 15.9.2026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15/03/2011</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15/09/2026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5.074</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IT0001086567</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7,25% 1.11.1996 - 1.11.2026</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01/11/1996</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01/11/2026</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9.418</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3,625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IT0001174611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6,50% 1.11.1997 - 1.11.2027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01/11/1997</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01/11/2027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26.013</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3,250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IT0004889033</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4,75% 22.1.2013 - 1.9.2028</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22/01/2013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01/09/2028</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13.037</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2,375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IT0001278511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5,25% 1.11.1998 - 1.11.2029</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01/11/1998</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01/11/2029</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28.148</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2,625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IT0001444378</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6,0% 1.11.1999 - 1.5.2031</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01/11/1999</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01/05/2031</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29.763</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3,000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IT0003256820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5,75% 1.2.2002 - 1.2.2033</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01/02/2002</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01/02/2033</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15.454</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2,875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IT0003535157</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5,0% 1.8.2003 - 1.8.2034</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01/08/2003</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01/08/2034</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21.382</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2,500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IT0003745541</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 xml:space="preserve">BTP </w:t>
            </w:r>
            <w:proofErr w:type="spellStart"/>
            <w:r w:rsidRPr="00AF5D7B">
              <w:rPr>
                <w:rFonts w:ascii="Calibri" w:eastAsia="Times New Roman" w:hAnsi="Calibri" w:cs="Arial"/>
                <w:sz w:val="14"/>
                <w:szCs w:val="20"/>
              </w:rPr>
              <w:t>ind</w:t>
            </w:r>
            <w:proofErr w:type="spellEnd"/>
            <w:r w:rsidRPr="00AF5D7B">
              <w:rPr>
                <w:rFonts w:ascii="Calibri" w:eastAsia="Times New Roman" w:hAnsi="Calibri" w:cs="Arial"/>
                <w:sz w:val="14"/>
                <w:szCs w:val="20"/>
              </w:rPr>
              <w:t>. 2,35% 15.9.2004 - 15.9.2035</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15/09/2004</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15/09/2035</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13.077</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1,175</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IT0003934657</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4,0% 1.8.2005 - 1.2.2037</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01/08/2005</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01/02/2037</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24.766</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2,000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IT0004286966</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5,0% 1.8.2007 - 1.8.2039</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01/08/2007</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01/08/2039</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18.701</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2,500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IT0004532559</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5,0% 1.9.2009 - 1.9.2040</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01/09/2009</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01/09/2040</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21.033</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2,500</w:t>
            </w:r>
          </w:p>
        </w:tc>
      </w:tr>
      <w:tr w:rsidR="00AF5D7B" w:rsidRPr="00AF5D7B" w:rsidTr="00AF5D7B">
        <w:trPr>
          <w:trHeight w:val="276"/>
        </w:trPr>
        <w:tc>
          <w:tcPr>
            <w:tcW w:w="556"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IT0004545890</w:t>
            </w:r>
          </w:p>
        </w:tc>
        <w:tc>
          <w:tcPr>
            <w:tcW w:w="1364"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 xml:space="preserve">BTP </w:t>
            </w:r>
            <w:proofErr w:type="spellStart"/>
            <w:r w:rsidRPr="00AF5D7B">
              <w:rPr>
                <w:rFonts w:ascii="Calibri" w:eastAsia="Times New Roman" w:hAnsi="Calibri" w:cs="Arial"/>
                <w:sz w:val="14"/>
                <w:szCs w:val="20"/>
              </w:rPr>
              <w:t>ind</w:t>
            </w:r>
            <w:proofErr w:type="spellEnd"/>
            <w:r w:rsidRPr="00AF5D7B">
              <w:rPr>
                <w:rFonts w:ascii="Calibri" w:eastAsia="Times New Roman" w:hAnsi="Calibri" w:cs="Arial"/>
                <w:sz w:val="14"/>
                <w:szCs w:val="20"/>
              </w:rPr>
              <w:t>. 2,55% 15.9.2009 - 15.9.2041</w:t>
            </w:r>
          </w:p>
        </w:tc>
        <w:tc>
          <w:tcPr>
            <w:tcW w:w="335"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BTPI</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15/09/2009</w:t>
            </w:r>
          </w:p>
        </w:tc>
        <w:tc>
          <w:tcPr>
            <w:tcW w:w="490"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15/09/2041</w:t>
            </w:r>
          </w:p>
        </w:tc>
        <w:tc>
          <w:tcPr>
            <w:tcW w:w="44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6.413</w:t>
            </w:r>
          </w:p>
        </w:tc>
        <w:tc>
          <w:tcPr>
            <w:tcW w:w="621" w:type="pct"/>
            <w:tcBorders>
              <w:top w:val="nil"/>
              <w:left w:val="single" w:sz="4" w:space="0" w:color="auto"/>
              <w:bottom w:val="nil"/>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1,275</w:t>
            </w:r>
          </w:p>
        </w:tc>
      </w:tr>
      <w:tr w:rsidR="00AF5D7B" w:rsidRPr="00AF5D7B" w:rsidTr="00AF5D7B">
        <w:trPr>
          <w:trHeight w:val="276"/>
        </w:trPr>
        <w:tc>
          <w:tcPr>
            <w:tcW w:w="556" w:type="pct"/>
            <w:tcBorders>
              <w:top w:val="nil"/>
              <w:left w:val="single" w:sz="4" w:space="0" w:color="auto"/>
              <w:bottom w:val="single" w:sz="4" w:space="0" w:color="auto"/>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IT0004923998</w:t>
            </w:r>
          </w:p>
        </w:tc>
        <w:tc>
          <w:tcPr>
            <w:tcW w:w="1364" w:type="pct"/>
            <w:tcBorders>
              <w:top w:val="nil"/>
              <w:left w:val="single" w:sz="4" w:space="0" w:color="auto"/>
              <w:bottom w:val="single" w:sz="4" w:space="0" w:color="auto"/>
              <w:right w:val="single" w:sz="4" w:space="0" w:color="auto"/>
            </w:tcBorders>
            <w:noWrap/>
            <w:vAlign w:val="center"/>
            <w:hideMark/>
          </w:tcPr>
          <w:p w:rsidR="00AF5D7B" w:rsidRPr="00AF5D7B" w:rsidRDefault="00AF5D7B" w:rsidP="00AF5D7B">
            <w:pPr>
              <w:spacing w:after="0"/>
              <w:rPr>
                <w:rFonts w:ascii="Calibri" w:eastAsia="Times New Roman" w:hAnsi="Calibri" w:cs="Arial"/>
                <w:sz w:val="14"/>
                <w:szCs w:val="20"/>
              </w:rPr>
            </w:pPr>
            <w:r w:rsidRPr="00AF5D7B">
              <w:rPr>
                <w:rFonts w:ascii="Calibri" w:eastAsia="Times New Roman" w:hAnsi="Calibri" w:cs="Arial"/>
                <w:sz w:val="14"/>
                <w:szCs w:val="20"/>
              </w:rPr>
              <w:t>BTP 4,75% 1.3.2013 - 1.9.2044</w:t>
            </w:r>
          </w:p>
        </w:tc>
        <w:tc>
          <w:tcPr>
            <w:tcW w:w="335" w:type="pct"/>
            <w:tcBorders>
              <w:top w:val="nil"/>
              <w:left w:val="single" w:sz="4" w:space="0" w:color="auto"/>
              <w:bottom w:val="single" w:sz="4" w:space="0" w:color="auto"/>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BTP</w:t>
            </w:r>
          </w:p>
        </w:tc>
        <w:tc>
          <w:tcPr>
            <w:tcW w:w="490" w:type="pct"/>
            <w:tcBorders>
              <w:top w:val="nil"/>
              <w:left w:val="single" w:sz="4" w:space="0" w:color="auto"/>
              <w:bottom w:val="single" w:sz="4" w:space="0" w:color="auto"/>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01/03/2013</w:t>
            </w:r>
          </w:p>
        </w:tc>
        <w:tc>
          <w:tcPr>
            <w:tcW w:w="490" w:type="pct"/>
            <w:tcBorders>
              <w:top w:val="nil"/>
              <w:left w:val="single" w:sz="4" w:space="0" w:color="auto"/>
              <w:bottom w:val="single" w:sz="4" w:space="0" w:color="auto"/>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01/09/2044</w:t>
            </w:r>
          </w:p>
        </w:tc>
        <w:tc>
          <w:tcPr>
            <w:tcW w:w="441" w:type="pct"/>
            <w:tcBorders>
              <w:top w:val="nil"/>
              <w:left w:val="single" w:sz="4" w:space="0" w:color="auto"/>
              <w:bottom w:val="single" w:sz="4" w:space="0" w:color="auto"/>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F</w:t>
            </w:r>
          </w:p>
        </w:tc>
        <w:tc>
          <w:tcPr>
            <w:tcW w:w="703" w:type="pct"/>
            <w:tcBorders>
              <w:top w:val="nil"/>
              <w:left w:val="single" w:sz="4" w:space="0" w:color="auto"/>
              <w:bottom w:val="single" w:sz="4" w:space="0" w:color="auto"/>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7.461</w:t>
            </w:r>
          </w:p>
        </w:tc>
        <w:tc>
          <w:tcPr>
            <w:tcW w:w="621" w:type="pct"/>
            <w:tcBorders>
              <w:top w:val="nil"/>
              <w:left w:val="single" w:sz="4" w:space="0" w:color="auto"/>
              <w:bottom w:val="single" w:sz="4" w:space="0" w:color="auto"/>
              <w:right w:val="single" w:sz="4" w:space="0" w:color="auto"/>
            </w:tcBorders>
            <w:noWrap/>
            <w:vAlign w:val="center"/>
            <w:hideMark/>
          </w:tcPr>
          <w:p w:rsidR="00AF5D7B" w:rsidRPr="00AF5D7B" w:rsidRDefault="00AF5D7B" w:rsidP="00AF5D7B">
            <w:pPr>
              <w:spacing w:after="0"/>
              <w:jc w:val="right"/>
              <w:rPr>
                <w:rFonts w:ascii="Calibri" w:eastAsia="Times New Roman" w:hAnsi="Calibri" w:cs="Arial"/>
                <w:sz w:val="14"/>
                <w:szCs w:val="20"/>
              </w:rPr>
            </w:pPr>
            <w:r w:rsidRPr="00AF5D7B">
              <w:rPr>
                <w:rFonts w:ascii="Calibri" w:eastAsia="Times New Roman" w:hAnsi="Calibri" w:cs="Arial"/>
                <w:sz w:val="14"/>
                <w:szCs w:val="20"/>
              </w:rPr>
              <w:t>2,375</w:t>
            </w:r>
          </w:p>
        </w:tc>
      </w:tr>
    </w:tbl>
    <w:p w:rsidR="00AF5D7B" w:rsidRDefault="00AF5D7B"/>
    <w:sectPr w:rsidR="00AF5D7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default -">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2D0CE1"/>
    <w:multiLevelType w:val="multilevel"/>
    <w:tmpl w:val="9A9C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F9A"/>
    <w:rsid w:val="000D6F9B"/>
    <w:rsid w:val="00290168"/>
    <w:rsid w:val="002F6CBE"/>
    <w:rsid w:val="00416EB4"/>
    <w:rsid w:val="004C41E2"/>
    <w:rsid w:val="005A1CB7"/>
    <w:rsid w:val="005B2A64"/>
    <w:rsid w:val="00822816"/>
    <w:rsid w:val="00A718C1"/>
    <w:rsid w:val="00AF5D7B"/>
    <w:rsid w:val="00B74486"/>
    <w:rsid w:val="00BC1F9A"/>
    <w:rsid w:val="00E61ECC"/>
    <w:rsid w:val="00F358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AF5D7B"/>
    <w:pPr>
      <w:keepNext/>
      <w:spacing w:before="240" w:after="60" w:line="240" w:lineRule="auto"/>
      <w:ind w:left="480" w:right="34"/>
      <w:jc w:val="both"/>
      <w:outlineLvl w:val="0"/>
    </w:pPr>
    <w:rPr>
      <w:rFonts w:ascii="Century Gothic" w:eastAsia="Calibri" w:hAnsi="Century Gothic" w:cs="Century Gothic"/>
      <w:b/>
      <w:bCs/>
      <w:sz w:val="32"/>
      <w:szCs w:val="32"/>
      <w:lang w:eastAsia="it-IT"/>
    </w:rPr>
  </w:style>
  <w:style w:type="paragraph" w:styleId="Titolo2">
    <w:name w:val="heading 2"/>
    <w:basedOn w:val="Normale"/>
    <w:link w:val="Titolo2Carattere"/>
    <w:unhideWhenUsed/>
    <w:qFormat/>
    <w:rsid w:val="00AF5D7B"/>
    <w:pPr>
      <w:keepNext/>
      <w:spacing w:before="240" w:after="60" w:line="240" w:lineRule="auto"/>
      <w:jc w:val="center"/>
      <w:outlineLvl w:val="1"/>
    </w:pPr>
    <w:rPr>
      <w:rFonts w:ascii="Century Gothic" w:eastAsia="Calibri" w:hAnsi="Century Gothic" w:cs="Century Gothic"/>
      <w:sz w:val="24"/>
      <w:szCs w:val="24"/>
      <w:lang w:eastAsia="it-IT"/>
    </w:rPr>
  </w:style>
  <w:style w:type="paragraph" w:styleId="Titolo3">
    <w:name w:val="heading 3"/>
    <w:basedOn w:val="Normale"/>
    <w:link w:val="Titolo3Carattere"/>
    <w:uiPriority w:val="9"/>
    <w:semiHidden/>
    <w:unhideWhenUsed/>
    <w:qFormat/>
    <w:rsid w:val="00AF5D7B"/>
    <w:pPr>
      <w:keepNext/>
      <w:spacing w:before="240" w:after="60" w:line="240" w:lineRule="auto"/>
      <w:jc w:val="both"/>
      <w:outlineLvl w:val="2"/>
    </w:pPr>
    <w:rPr>
      <w:rFonts w:ascii="Century Gothic" w:eastAsia="Calibri" w:hAnsi="Century Gothic" w:cs="Century Gothic"/>
      <w:b/>
      <w:bCs/>
      <w:sz w:val="24"/>
      <w:szCs w:val="24"/>
      <w:lang w:eastAsia="it-IT"/>
    </w:rPr>
  </w:style>
  <w:style w:type="paragraph" w:styleId="Titolo4">
    <w:name w:val="heading 4"/>
    <w:basedOn w:val="Normale"/>
    <w:link w:val="Titolo4Carattere"/>
    <w:uiPriority w:val="9"/>
    <w:semiHidden/>
    <w:unhideWhenUsed/>
    <w:qFormat/>
    <w:rsid w:val="00AF5D7B"/>
    <w:pPr>
      <w:keepNext/>
      <w:spacing w:before="240" w:after="60" w:line="240" w:lineRule="auto"/>
      <w:jc w:val="both"/>
      <w:outlineLvl w:val="3"/>
    </w:pPr>
    <w:rPr>
      <w:rFonts w:ascii="Times New Roman" w:eastAsia="Calibri" w:hAnsi="Times New Roman" w:cs="Times New Roman"/>
      <w:b/>
      <w:bCs/>
      <w:sz w:val="28"/>
      <w:szCs w:val="28"/>
      <w:lang w:eastAsia="it-IT"/>
    </w:rPr>
  </w:style>
  <w:style w:type="paragraph" w:styleId="Titolo6">
    <w:name w:val="heading 6"/>
    <w:basedOn w:val="Normale"/>
    <w:link w:val="Titolo6Carattere"/>
    <w:uiPriority w:val="9"/>
    <w:semiHidden/>
    <w:unhideWhenUsed/>
    <w:qFormat/>
    <w:rsid w:val="00AF5D7B"/>
    <w:pPr>
      <w:spacing w:before="240" w:after="60" w:line="240" w:lineRule="auto"/>
      <w:jc w:val="both"/>
      <w:outlineLvl w:val="5"/>
    </w:pPr>
    <w:rPr>
      <w:rFonts w:ascii="Times New Roman" w:eastAsia="Calibri"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BC1F9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C1F9A"/>
    <w:rPr>
      <w:rFonts w:ascii="Tahoma" w:hAnsi="Tahoma" w:cs="Tahoma"/>
      <w:sz w:val="16"/>
      <w:szCs w:val="16"/>
    </w:rPr>
  </w:style>
  <w:style w:type="paragraph" w:styleId="Nessunaspaziatura">
    <w:name w:val="No Spacing"/>
    <w:uiPriority w:val="1"/>
    <w:qFormat/>
    <w:rsid w:val="00290168"/>
    <w:pPr>
      <w:spacing w:after="0" w:line="240" w:lineRule="auto"/>
    </w:pPr>
  </w:style>
  <w:style w:type="paragraph" w:customStyle="1" w:styleId="Default">
    <w:name w:val="Default"/>
    <w:rsid w:val="00822816"/>
    <w:pPr>
      <w:autoSpaceDE w:val="0"/>
      <w:autoSpaceDN w:val="0"/>
      <w:adjustRightInd w:val="0"/>
      <w:spacing w:after="0" w:line="240" w:lineRule="auto"/>
    </w:pPr>
    <w:rPr>
      <w:rFonts w:ascii="Tahoma" w:hAnsi="Tahoma" w:cs="Tahoma"/>
      <w:color w:val="000000"/>
      <w:sz w:val="24"/>
      <w:szCs w:val="24"/>
    </w:rPr>
  </w:style>
  <w:style w:type="character" w:customStyle="1" w:styleId="Titolo1Carattere">
    <w:name w:val="Titolo 1 Carattere"/>
    <w:basedOn w:val="Carpredefinitoparagrafo"/>
    <w:link w:val="Titolo1"/>
    <w:uiPriority w:val="9"/>
    <w:rsid w:val="00AF5D7B"/>
    <w:rPr>
      <w:rFonts w:ascii="Century Gothic" w:eastAsia="Calibri" w:hAnsi="Century Gothic" w:cs="Century Gothic"/>
      <w:b/>
      <w:bCs/>
      <w:sz w:val="32"/>
      <w:szCs w:val="32"/>
      <w:lang w:eastAsia="it-IT"/>
    </w:rPr>
  </w:style>
  <w:style w:type="character" w:customStyle="1" w:styleId="Titolo2Carattere">
    <w:name w:val="Titolo 2 Carattere"/>
    <w:basedOn w:val="Carpredefinitoparagrafo"/>
    <w:link w:val="Titolo2"/>
    <w:rsid w:val="00AF5D7B"/>
    <w:rPr>
      <w:rFonts w:ascii="Century Gothic" w:eastAsia="Calibri" w:hAnsi="Century Gothic" w:cs="Century Gothic"/>
      <w:sz w:val="24"/>
      <w:szCs w:val="24"/>
      <w:lang w:eastAsia="it-IT"/>
    </w:rPr>
  </w:style>
  <w:style w:type="character" w:customStyle="1" w:styleId="Titolo3Carattere">
    <w:name w:val="Titolo 3 Carattere"/>
    <w:basedOn w:val="Carpredefinitoparagrafo"/>
    <w:link w:val="Titolo3"/>
    <w:uiPriority w:val="9"/>
    <w:semiHidden/>
    <w:rsid w:val="00AF5D7B"/>
    <w:rPr>
      <w:rFonts w:ascii="Century Gothic" w:eastAsia="Calibri" w:hAnsi="Century Gothic" w:cs="Century Gothic"/>
      <w:b/>
      <w:bCs/>
      <w:sz w:val="24"/>
      <w:szCs w:val="24"/>
      <w:lang w:eastAsia="it-IT"/>
    </w:rPr>
  </w:style>
  <w:style w:type="character" w:customStyle="1" w:styleId="Titolo4Carattere">
    <w:name w:val="Titolo 4 Carattere"/>
    <w:basedOn w:val="Carpredefinitoparagrafo"/>
    <w:link w:val="Titolo4"/>
    <w:uiPriority w:val="9"/>
    <w:semiHidden/>
    <w:rsid w:val="00AF5D7B"/>
    <w:rPr>
      <w:rFonts w:ascii="Times New Roman" w:eastAsia="Calibri" w:hAnsi="Times New Roman" w:cs="Times New Roman"/>
      <w:b/>
      <w:bCs/>
      <w:sz w:val="28"/>
      <w:szCs w:val="28"/>
      <w:lang w:eastAsia="it-IT"/>
    </w:rPr>
  </w:style>
  <w:style w:type="character" w:customStyle="1" w:styleId="Titolo6Carattere">
    <w:name w:val="Titolo 6 Carattere"/>
    <w:basedOn w:val="Carpredefinitoparagrafo"/>
    <w:link w:val="Titolo6"/>
    <w:uiPriority w:val="9"/>
    <w:semiHidden/>
    <w:rsid w:val="00AF5D7B"/>
    <w:rPr>
      <w:rFonts w:ascii="Times New Roman" w:eastAsia="Calibri" w:hAnsi="Times New Roman" w:cs="Times New Roman"/>
      <w:b/>
      <w:bCs/>
      <w:sz w:val="24"/>
      <w:szCs w:val="24"/>
      <w:lang w:eastAsia="it-IT"/>
    </w:rPr>
  </w:style>
  <w:style w:type="numbering" w:customStyle="1" w:styleId="Nessunelenco1">
    <w:name w:val="Nessun elenco1"/>
    <w:next w:val="Nessunelenco"/>
    <w:uiPriority w:val="99"/>
    <w:semiHidden/>
    <w:unhideWhenUsed/>
    <w:rsid w:val="00AF5D7B"/>
  </w:style>
  <w:style w:type="character" w:styleId="Collegamentoipertestuale">
    <w:name w:val="Hyperlink"/>
    <w:basedOn w:val="Carpredefinitoparagrafo"/>
    <w:uiPriority w:val="99"/>
    <w:unhideWhenUsed/>
    <w:qFormat/>
    <w:rsid w:val="00AF5D7B"/>
    <w:rPr>
      <w:rFonts w:ascii="Century Gothic" w:eastAsia="SimSun" w:hAnsi="Century Gothic" w:hint="default"/>
      <w:i/>
      <w:iCs w:val="0"/>
      <w:strike w:val="0"/>
      <w:dstrike w:val="0"/>
      <w:color w:val="002776"/>
      <w:sz w:val="26"/>
      <w:szCs w:val="28"/>
      <w:u w:val="none"/>
      <w:effect w:val="none"/>
    </w:rPr>
  </w:style>
  <w:style w:type="character" w:styleId="Collegamentovisitato">
    <w:name w:val="FollowedHyperlink"/>
    <w:basedOn w:val="Carpredefinitoparagrafo"/>
    <w:uiPriority w:val="99"/>
    <w:semiHidden/>
    <w:unhideWhenUsed/>
    <w:qFormat/>
    <w:rsid w:val="00AF5D7B"/>
    <w:rPr>
      <w:rFonts w:ascii="Century Gothic" w:hAnsi="Century Gothic" w:hint="default"/>
      <w:strike w:val="0"/>
      <w:dstrike w:val="0"/>
      <w:color w:val="7030A0"/>
      <w:u w:val="none"/>
      <w:effect w:val="none"/>
    </w:rPr>
  </w:style>
  <w:style w:type="paragraph" w:styleId="NormaleWeb">
    <w:name w:val="Normal (Web)"/>
    <w:basedOn w:val="Normale"/>
    <w:uiPriority w:val="99"/>
    <w:semiHidden/>
    <w:unhideWhenUsed/>
    <w:rsid w:val="00AF5D7B"/>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paragraph" w:styleId="Sommario1">
    <w:name w:val="toc 1"/>
    <w:basedOn w:val="Normale"/>
    <w:autoRedefine/>
    <w:uiPriority w:val="39"/>
    <w:semiHidden/>
    <w:unhideWhenUsed/>
    <w:rsid w:val="00AF5D7B"/>
    <w:pPr>
      <w:spacing w:after="0" w:line="240" w:lineRule="auto"/>
      <w:ind w:right="-2"/>
      <w:jc w:val="both"/>
    </w:pPr>
    <w:rPr>
      <w:rFonts w:ascii="Century Gothic" w:eastAsia="Calibri" w:hAnsi="Century Gothic" w:cs="Times New Roman"/>
      <w:sz w:val="24"/>
      <w:szCs w:val="24"/>
      <w:lang w:eastAsia="it-IT"/>
    </w:rPr>
  </w:style>
  <w:style w:type="paragraph" w:styleId="Sommario3">
    <w:name w:val="toc 3"/>
    <w:basedOn w:val="Normale"/>
    <w:autoRedefine/>
    <w:uiPriority w:val="39"/>
    <w:semiHidden/>
    <w:unhideWhenUsed/>
    <w:rsid w:val="00AF5D7B"/>
    <w:pPr>
      <w:spacing w:after="0" w:line="240" w:lineRule="auto"/>
      <w:ind w:left="440"/>
      <w:jc w:val="both"/>
    </w:pPr>
    <w:rPr>
      <w:rFonts w:ascii="Times New Roman" w:eastAsia="Calibri" w:hAnsi="Times New Roman" w:cs="Times New Roman"/>
      <w:sz w:val="24"/>
      <w:szCs w:val="24"/>
      <w:lang w:eastAsia="it-IT"/>
    </w:rPr>
  </w:style>
  <w:style w:type="paragraph" w:styleId="Testonotaapidipagina">
    <w:name w:val="footnote text"/>
    <w:basedOn w:val="Normale"/>
    <w:link w:val="TestonotaapidipaginaCarattere"/>
    <w:uiPriority w:val="99"/>
    <w:semiHidden/>
    <w:unhideWhenUsed/>
    <w:rsid w:val="00AF5D7B"/>
    <w:pPr>
      <w:spacing w:after="0" w:line="240" w:lineRule="auto"/>
      <w:jc w:val="both"/>
    </w:pPr>
    <w:rPr>
      <w:rFonts w:ascii="Times New Roman" w:eastAsia="Calibri" w:hAnsi="Times New Roman" w:cs="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AF5D7B"/>
    <w:rPr>
      <w:rFonts w:ascii="Times New Roman" w:eastAsia="Calibri" w:hAnsi="Times New Roman" w:cs="Times New Roman"/>
      <w:sz w:val="24"/>
      <w:szCs w:val="24"/>
      <w:lang w:eastAsia="it-IT"/>
    </w:rPr>
  </w:style>
  <w:style w:type="paragraph" w:styleId="Intestazione">
    <w:name w:val="header"/>
    <w:basedOn w:val="Normale"/>
    <w:link w:val="IntestazioneCarattere"/>
    <w:uiPriority w:val="99"/>
    <w:semiHidden/>
    <w:unhideWhenUsed/>
    <w:rsid w:val="00AF5D7B"/>
    <w:pPr>
      <w:spacing w:after="0" w:line="240" w:lineRule="auto"/>
      <w:jc w:val="both"/>
    </w:pPr>
    <w:rPr>
      <w:rFonts w:ascii="Times New Roman" w:eastAsia="Calibri" w:hAnsi="Times New Roman" w:cs="Times New Roman"/>
      <w:sz w:val="24"/>
      <w:szCs w:val="24"/>
      <w:lang w:eastAsia="it-IT"/>
    </w:rPr>
  </w:style>
  <w:style w:type="character" w:customStyle="1" w:styleId="IntestazioneCarattere">
    <w:name w:val="Intestazione Carattere"/>
    <w:basedOn w:val="Carpredefinitoparagrafo"/>
    <w:link w:val="Intestazione"/>
    <w:uiPriority w:val="99"/>
    <w:semiHidden/>
    <w:rsid w:val="00AF5D7B"/>
    <w:rPr>
      <w:rFonts w:ascii="Times New Roman" w:eastAsia="Calibri" w:hAnsi="Times New Roman" w:cs="Times New Roman"/>
      <w:sz w:val="24"/>
      <w:szCs w:val="24"/>
      <w:lang w:eastAsia="it-IT"/>
    </w:rPr>
  </w:style>
  <w:style w:type="paragraph" w:styleId="Pidipagina">
    <w:name w:val="footer"/>
    <w:basedOn w:val="Normale"/>
    <w:link w:val="PidipaginaCarattere"/>
    <w:uiPriority w:val="99"/>
    <w:semiHidden/>
    <w:unhideWhenUsed/>
    <w:rsid w:val="00AF5D7B"/>
    <w:pPr>
      <w:spacing w:after="0" w:line="240" w:lineRule="auto"/>
      <w:jc w:val="both"/>
    </w:pPr>
    <w:rPr>
      <w:rFonts w:ascii="Times New Roman" w:eastAsia="Calibri" w:hAnsi="Times New Roman" w:cs="Times New Roman"/>
      <w:sz w:val="24"/>
      <w:szCs w:val="24"/>
      <w:lang w:eastAsia="it-IT"/>
    </w:rPr>
  </w:style>
  <w:style w:type="character" w:customStyle="1" w:styleId="PidipaginaCarattere">
    <w:name w:val="Piè di pagina Carattere"/>
    <w:basedOn w:val="Carpredefinitoparagrafo"/>
    <w:link w:val="Pidipagina"/>
    <w:uiPriority w:val="99"/>
    <w:semiHidden/>
    <w:rsid w:val="00AF5D7B"/>
    <w:rPr>
      <w:rFonts w:ascii="Times New Roman" w:eastAsia="Calibri" w:hAnsi="Times New Roman" w:cs="Times New Roman"/>
      <w:sz w:val="24"/>
      <w:szCs w:val="24"/>
      <w:lang w:eastAsia="it-IT"/>
    </w:rPr>
  </w:style>
  <w:style w:type="paragraph" w:styleId="Titolo">
    <w:name w:val="Title"/>
    <w:basedOn w:val="Normale"/>
    <w:link w:val="TitoloCarattere"/>
    <w:uiPriority w:val="10"/>
    <w:qFormat/>
    <w:rsid w:val="00AF5D7B"/>
    <w:pPr>
      <w:spacing w:before="240" w:after="60" w:line="240" w:lineRule="auto"/>
      <w:jc w:val="center"/>
    </w:pPr>
    <w:rPr>
      <w:rFonts w:ascii="Arial" w:eastAsia="Calibri" w:hAnsi="Arial" w:cs="Arial"/>
      <w:b/>
      <w:bCs/>
      <w:sz w:val="32"/>
      <w:szCs w:val="32"/>
      <w:lang w:eastAsia="it-IT"/>
    </w:rPr>
  </w:style>
  <w:style w:type="character" w:customStyle="1" w:styleId="TitoloCarattere">
    <w:name w:val="Titolo Carattere"/>
    <w:basedOn w:val="Carpredefinitoparagrafo"/>
    <w:link w:val="Titolo"/>
    <w:uiPriority w:val="10"/>
    <w:rsid w:val="00AF5D7B"/>
    <w:rPr>
      <w:rFonts w:ascii="Arial" w:eastAsia="Calibri" w:hAnsi="Arial" w:cs="Arial"/>
      <w:b/>
      <w:bCs/>
      <w:sz w:val="32"/>
      <w:szCs w:val="32"/>
      <w:lang w:eastAsia="it-IT"/>
    </w:rPr>
  </w:style>
  <w:style w:type="paragraph" w:styleId="Sottotitolo">
    <w:name w:val="Subtitle"/>
    <w:basedOn w:val="Normale"/>
    <w:next w:val="Normale"/>
    <w:link w:val="SottotitoloCarattere"/>
    <w:uiPriority w:val="11"/>
    <w:qFormat/>
    <w:rsid w:val="00AF5D7B"/>
    <w:pPr>
      <w:spacing w:after="0" w:line="240" w:lineRule="auto"/>
      <w:ind w:left="600"/>
      <w:jc w:val="both"/>
    </w:pPr>
    <w:rPr>
      <w:rFonts w:ascii="Cambria" w:eastAsia="Times New Roman" w:hAnsi="Cambria" w:cs="Times New Roman"/>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AF5D7B"/>
    <w:rPr>
      <w:rFonts w:ascii="Cambria" w:eastAsia="Times New Roman" w:hAnsi="Cambria" w:cs="Times New Roman"/>
      <w:i/>
      <w:iCs/>
      <w:color w:val="4F81BD" w:themeColor="accent1"/>
      <w:spacing w:val="15"/>
      <w:sz w:val="24"/>
      <w:szCs w:val="24"/>
      <w:lang w:eastAsia="it-IT"/>
    </w:rPr>
  </w:style>
  <w:style w:type="paragraph" w:styleId="Data">
    <w:name w:val="Date"/>
    <w:basedOn w:val="Normale"/>
    <w:link w:val="DataCarattere"/>
    <w:uiPriority w:val="99"/>
    <w:semiHidden/>
    <w:unhideWhenUsed/>
    <w:rsid w:val="00AF5D7B"/>
    <w:pPr>
      <w:spacing w:after="0" w:line="240" w:lineRule="auto"/>
      <w:jc w:val="both"/>
    </w:pPr>
    <w:rPr>
      <w:rFonts w:ascii="Century Gothic" w:eastAsia="Calibri" w:hAnsi="Century Gothic" w:cs="Times New Roman"/>
      <w:sz w:val="24"/>
      <w:szCs w:val="24"/>
      <w:lang w:eastAsia="it-IT"/>
    </w:rPr>
  </w:style>
  <w:style w:type="character" w:customStyle="1" w:styleId="DataCarattere">
    <w:name w:val="Data Carattere"/>
    <w:basedOn w:val="Carpredefinitoparagrafo"/>
    <w:link w:val="Data"/>
    <w:uiPriority w:val="99"/>
    <w:semiHidden/>
    <w:rsid w:val="00AF5D7B"/>
    <w:rPr>
      <w:rFonts w:ascii="Century Gothic" w:eastAsia="Calibri" w:hAnsi="Century Gothic" w:cs="Times New Roman"/>
      <w:sz w:val="24"/>
      <w:szCs w:val="24"/>
      <w:lang w:eastAsia="it-IT"/>
    </w:rPr>
  </w:style>
  <w:style w:type="paragraph" w:styleId="Testodelblocco">
    <w:name w:val="Block Text"/>
    <w:basedOn w:val="Normale"/>
    <w:uiPriority w:val="99"/>
    <w:semiHidden/>
    <w:unhideWhenUsed/>
    <w:rsid w:val="00AF5D7B"/>
    <w:pPr>
      <w:spacing w:after="0" w:line="240" w:lineRule="auto"/>
      <w:ind w:left="480"/>
      <w:jc w:val="both"/>
    </w:pPr>
    <w:rPr>
      <w:rFonts w:ascii="Century Gothic" w:eastAsia="Calibri" w:hAnsi="Century Gothic" w:cs="Times New Roman"/>
      <w:color w:val="FF0000"/>
      <w:sz w:val="18"/>
      <w:szCs w:val="18"/>
      <w:lang w:eastAsia="it-IT"/>
    </w:rPr>
  </w:style>
  <w:style w:type="paragraph" w:styleId="Testonormale">
    <w:name w:val="Plain Text"/>
    <w:basedOn w:val="Normale"/>
    <w:link w:val="TestonormaleCarattere"/>
    <w:uiPriority w:val="99"/>
    <w:semiHidden/>
    <w:unhideWhenUsed/>
    <w:rsid w:val="00AF5D7B"/>
    <w:pPr>
      <w:spacing w:after="0" w:line="240" w:lineRule="auto"/>
      <w:jc w:val="both"/>
    </w:pPr>
    <w:rPr>
      <w:rFonts w:ascii="Calibri" w:eastAsia="Calibri" w:hAnsi="Calibri" w:cs="Times New Roman"/>
      <w:sz w:val="24"/>
      <w:szCs w:val="21"/>
      <w:lang w:eastAsia="it-IT"/>
    </w:rPr>
  </w:style>
  <w:style w:type="character" w:customStyle="1" w:styleId="TestonormaleCarattere">
    <w:name w:val="Testo normale Carattere"/>
    <w:basedOn w:val="Carpredefinitoparagrafo"/>
    <w:link w:val="Testonormale"/>
    <w:uiPriority w:val="99"/>
    <w:semiHidden/>
    <w:rsid w:val="00AF5D7B"/>
    <w:rPr>
      <w:rFonts w:ascii="Calibri" w:eastAsia="Calibri" w:hAnsi="Calibri" w:cs="Times New Roman"/>
      <w:sz w:val="24"/>
      <w:szCs w:val="21"/>
      <w:lang w:eastAsia="it-IT"/>
    </w:rPr>
  </w:style>
  <w:style w:type="paragraph" w:styleId="Paragrafoelenco">
    <w:name w:val="List Paragraph"/>
    <w:basedOn w:val="Normale"/>
    <w:uiPriority w:val="34"/>
    <w:qFormat/>
    <w:rsid w:val="00AF5D7B"/>
    <w:pPr>
      <w:spacing w:after="0" w:line="240" w:lineRule="auto"/>
      <w:ind w:left="720"/>
      <w:jc w:val="both"/>
    </w:pPr>
    <w:rPr>
      <w:rFonts w:ascii="Century Gothic" w:eastAsia="Calibri" w:hAnsi="Century Gothic" w:cs="Times New Roman"/>
      <w:sz w:val="24"/>
      <w:szCs w:val="24"/>
      <w:lang w:eastAsia="it-IT"/>
    </w:rPr>
  </w:style>
  <w:style w:type="character" w:customStyle="1" w:styleId="linkCarattere">
    <w:name w:val="link Carattere"/>
    <w:basedOn w:val="Carpredefinitoparagrafo"/>
    <w:link w:val="link"/>
    <w:uiPriority w:val="99"/>
    <w:locked/>
    <w:rsid w:val="00AF5D7B"/>
    <w:rPr>
      <w:rFonts w:ascii="Century Gothic" w:hAnsi="Century Gothic" w:cs="Century Gothic"/>
      <w:bCs/>
      <w:iCs/>
      <w:sz w:val="24"/>
      <w:szCs w:val="24"/>
      <w:lang w:eastAsia="it-IT"/>
    </w:rPr>
  </w:style>
  <w:style w:type="paragraph" w:customStyle="1" w:styleId="link">
    <w:name w:val="link"/>
    <w:basedOn w:val="Normale"/>
    <w:link w:val="linkCarattere"/>
    <w:autoRedefine/>
    <w:uiPriority w:val="99"/>
    <w:rsid w:val="00AF5D7B"/>
    <w:pPr>
      <w:tabs>
        <w:tab w:val="left" w:pos="708"/>
      </w:tabs>
      <w:spacing w:before="100" w:beforeAutospacing="1" w:after="100" w:afterAutospacing="1" w:line="240" w:lineRule="auto"/>
      <w:ind w:left="170" w:right="-39"/>
      <w:jc w:val="both"/>
    </w:pPr>
    <w:rPr>
      <w:rFonts w:ascii="Century Gothic" w:hAnsi="Century Gothic" w:cs="Century Gothic"/>
      <w:bCs/>
      <w:iCs/>
      <w:sz w:val="24"/>
      <w:szCs w:val="24"/>
      <w:lang w:eastAsia="it-IT"/>
    </w:rPr>
  </w:style>
  <w:style w:type="paragraph" w:customStyle="1" w:styleId="msolistparagraphcxspfirst">
    <w:name w:val="msolistparagraphcxspfirst"/>
    <w:basedOn w:val="Normale"/>
    <w:uiPriority w:val="99"/>
    <w:semiHidden/>
    <w:rsid w:val="00AF5D7B"/>
    <w:pPr>
      <w:spacing w:after="0" w:line="240" w:lineRule="auto"/>
      <w:ind w:left="720"/>
      <w:jc w:val="both"/>
    </w:pPr>
    <w:rPr>
      <w:rFonts w:ascii="Century Gothic" w:eastAsia="Calibri" w:hAnsi="Century Gothic" w:cs="Times New Roman"/>
      <w:sz w:val="24"/>
      <w:szCs w:val="24"/>
      <w:lang w:eastAsia="it-IT"/>
    </w:rPr>
  </w:style>
  <w:style w:type="paragraph" w:customStyle="1" w:styleId="msolistparagraphcxspmiddle">
    <w:name w:val="msolistparagraphcxspmiddle"/>
    <w:basedOn w:val="Normale"/>
    <w:uiPriority w:val="99"/>
    <w:semiHidden/>
    <w:rsid w:val="00AF5D7B"/>
    <w:pPr>
      <w:spacing w:after="0" w:line="240" w:lineRule="auto"/>
      <w:ind w:left="720"/>
      <w:jc w:val="both"/>
    </w:pPr>
    <w:rPr>
      <w:rFonts w:ascii="Century Gothic" w:eastAsia="Calibri" w:hAnsi="Century Gothic" w:cs="Times New Roman"/>
      <w:sz w:val="24"/>
      <w:szCs w:val="24"/>
      <w:lang w:eastAsia="it-IT"/>
    </w:rPr>
  </w:style>
  <w:style w:type="paragraph" w:customStyle="1" w:styleId="msolistparagraphcxsplast">
    <w:name w:val="msolistparagraphcxsplast"/>
    <w:basedOn w:val="Normale"/>
    <w:uiPriority w:val="99"/>
    <w:semiHidden/>
    <w:rsid w:val="00AF5D7B"/>
    <w:pPr>
      <w:spacing w:after="0" w:line="240" w:lineRule="auto"/>
      <w:ind w:left="720"/>
      <w:jc w:val="both"/>
    </w:pPr>
    <w:rPr>
      <w:rFonts w:ascii="Century Gothic" w:eastAsia="Calibri" w:hAnsi="Century Gothic" w:cs="Times New Roman"/>
      <w:sz w:val="24"/>
      <w:szCs w:val="24"/>
      <w:lang w:eastAsia="it-IT"/>
    </w:rPr>
  </w:style>
  <w:style w:type="paragraph" w:customStyle="1" w:styleId="Stile1">
    <w:name w:val="Stile1"/>
    <w:basedOn w:val="Normale"/>
    <w:uiPriority w:val="99"/>
    <w:semiHidden/>
    <w:rsid w:val="00AF5D7B"/>
    <w:pPr>
      <w:spacing w:after="0" w:line="240" w:lineRule="auto"/>
      <w:jc w:val="both"/>
    </w:pPr>
    <w:rPr>
      <w:rFonts w:ascii="Garamond" w:eastAsia="Calibri" w:hAnsi="Garamond" w:cs="Times New Roman"/>
      <w:sz w:val="24"/>
      <w:szCs w:val="24"/>
      <w:lang w:eastAsia="it-IT"/>
    </w:rPr>
  </w:style>
  <w:style w:type="paragraph" w:customStyle="1" w:styleId="msonospacing0">
    <w:name w:val="msonospacing"/>
    <w:basedOn w:val="Normale"/>
    <w:uiPriority w:val="1"/>
    <w:semiHidden/>
    <w:qFormat/>
    <w:rsid w:val="00AF5D7B"/>
    <w:pPr>
      <w:spacing w:after="0" w:line="240" w:lineRule="auto"/>
      <w:ind w:left="2160"/>
      <w:jc w:val="both"/>
    </w:pPr>
    <w:rPr>
      <w:rFonts w:ascii="Century Gothic" w:eastAsia="Calibri" w:hAnsi="Century Gothic" w:cs="Times New Roman"/>
      <w:color w:val="0F243E"/>
      <w:sz w:val="24"/>
      <w:szCs w:val="24"/>
      <w:lang w:eastAsia="it-IT"/>
    </w:rPr>
  </w:style>
  <w:style w:type="paragraph" w:customStyle="1" w:styleId="by-line">
    <w:name w:val="by-line"/>
    <w:basedOn w:val="Normale"/>
    <w:uiPriority w:val="99"/>
    <w:semiHidden/>
    <w:rsid w:val="00AF5D7B"/>
    <w:pPr>
      <w:spacing w:before="100" w:beforeAutospacing="1" w:after="100" w:afterAutospacing="1" w:line="240" w:lineRule="auto"/>
      <w:jc w:val="both"/>
    </w:pPr>
    <w:rPr>
      <w:rFonts w:ascii="Century Gothic" w:eastAsia="Calibri" w:hAnsi="Century Gothic" w:cs="Times New Roman"/>
      <w:sz w:val="24"/>
      <w:szCs w:val="24"/>
      <w:lang w:eastAsia="it-IT"/>
    </w:rPr>
  </w:style>
  <w:style w:type="paragraph" w:customStyle="1" w:styleId="msochpdefault">
    <w:name w:val="msochpdefault"/>
    <w:basedOn w:val="Normale"/>
    <w:uiPriority w:val="99"/>
    <w:semiHidden/>
    <w:rsid w:val="00AF5D7B"/>
    <w:pPr>
      <w:spacing w:before="100" w:beforeAutospacing="1" w:after="100" w:afterAutospacing="1" w:line="240" w:lineRule="auto"/>
      <w:jc w:val="both"/>
    </w:pPr>
    <w:rPr>
      <w:rFonts w:ascii="Times New Roman" w:eastAsia="Calibri" w:hAnsi="Times New Roman" w:cs="Times New Roman"/>
      <w:sz w:val="24"/>
      <w:szCs w:val="24"/>
    </w:rPr>
  </w:style>
  <w:style w:type="paragraph" w:customStyle="1" w:styleId="msotocheading0">
    <w:name w:val="msotocheading"/>
    <w:basedOn w:val="Titolo1"/>
    <w:next w:val="Normale"/>
    <w:uiPriority w:val="39"/>
    <w:semiHidden/>
    <w:qFormat/>
    <w:rsid w:val="00AF5D7B"/>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AF5D7B"/>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after="0" w:line="240" w:lineRule="auto"/>
      <w:jc w:val="both"/>
    </w:pPr>
    <w:rPr>
      <w:rFonts w:ascii="Arial" w:eastAsia="Calibri" w:hAnsi="Arial" w:cs="Times New Roman"/>
      <w:spacing w:val="-2"/>
      <w:sz w:val="28"/>
      <w:szCs w:val="24"/>
      <w:lang w:val="fr-FR" w:eastAsia="en-GB"/>
    </w:rPr>
  </w:style>
  <w:style w:type="paragraph" w:customStyle="1" w:styleId="msonospacing00">
    <w:name w:val="msonospacing0"/>
    <w:basedOn w:val="Normale"/>
    <w:uiPriority w:val="99"/>
    <w:semiHidden/>
    <w:qFormat/>
    <w:rsid w:val="00AF5D7B"/>
    <w:pPr>
      <w:spacing w:before="100" w:beforeAutospacing="1" w:after="100" w:afterAutospacing="1" w:line="240" w:lineRule="auto"/>
      <w:jc w:val="both"/>
    </w:pPr>
    <w:rPr>
      <w:rFonts w:ascii="Century Gothic" w:eastAsia="Calibri" w:hAnsi="Century Gothic" w:cs="Century Gothic"/>
      <w:sz w:val="24"/>
      <w:szCs w:val="24"/>
      <w:lang w:eastAsia="it-IT"/>
    </w:rPr>
  </w:style>
  <w:style w:type="character" w:styleId="Rimandonotaapidipagina">
    <w:name w:val="footnote reference"/>
    <w:basedOn w:val="Carpredefinitoparagrafo"/>
    <w:uiPriority w:val="99"/>
    <w:semiHidden/>
    <w:unhideWhenUsed/>
    <w:rsid w:val="00AF5D7B"/>
    <w:rPr>
      <w:vertAlign w:val="superscript"/>
    </w:rPr>
  </w:style>
  <w:style w:type="character" w:customStyle="1" w:styleId="occhiello">
    <w:name w:val="occhiello"/>
    <w:basedOn w:val="Carpredefinitoparagrafo"/>
    <w:rsid w:val="00AF5D7B"/>
  </w:style>
  <w:style w:type="character" w:customStyle="1" w:styleId="titolo10">
    <w:name w:val="titolo1"/>
    <w:basedOn w:val="Carpredefinitoparagrafo"/>
    <w:rsid w:val="00AF5D7B"/>
  </w:style>
  <w:style w:type="character" w:customStyle="1" w:styleId="sommario">
    <w:name w:val="sommario"/>
    <w:basedOn w:val="Carpredefinitoparagrafo"/>
    <w:rsid w:val="00AF5D7B"/>
  </w:style>
  <w:style w:type="character" w:customStyle="1" w:styleId="txt12">
    <w:name w:val="txt12"/>
    <w:basedOn w:val="Carpredefinitoparagrafo"/>
    <w:rsid w:val="00AF5D7B"/>
  </w:style>
  <w:style w:type="character" w:customStyle="1" w:styleId="articolotitolo1">
    <w:name w:val="articolotitolo1"/>
    <w:basedOn w:val="Carpredefinitoparagrafo"/>
    <w:rsid w:val="00AF5D7B"/>
    <w:rPr>
      <w:rFonts w:ascii="Verdana" w:hAnsi="Verdana" w:hint="default"/>
      <w:b/>
      <w:bCs/>
      <w:strike w:val="0"/>
      <w:dstrike w:val="0"/>
      <w:color w:val="000000"/>
      <w:u w:val="none"/>
      <w:effect w:val="none"/>
    </w:rPr>
  </w:style>
  <w:style w:type="character" w:customStyle="1" w:styleId="grame">
    <w:name w:val="grame"/>
    <w:basedOn w:val="Carpredefinitoparagrafo"/>
    <w:rsid w:val="00AF5D7B"/>
  </w:style>
  <w:style w:type="character" w:customStyle="1" w:styleId="grigioscuro">
    <w:name w:val="grigioscuro"/>
    <w:basedOn w:val="Carpredefinitoparagrafo"/>
    <w:rsid w:val="00AF5D7B"/>
  </w:style>
  <w:style w:type="character" w:customStyle="1" w:styleId="fwb1">
    <w:name w:val="fwb1"/>
    <w:rsid w:val="00AF5D7B"/>
    <w:rPr>
      <w:b/>
      <w:bCs/>
    </w:rPr>
  </w:style>
  <w:style w:type="character" w:customStyle="1" w:styleId="usercontent">
    <w:name w:val="usercontent"/>
    <w:basedOn w:val="Carpredefinitoparagrafo"/>
    <w:rsid w:val="00AF5D7B"/>
  </w:style>
  <w:style w:type="character" w:customStyle="1" w:styleId="credits">
    <w:name w:val="credits"/>
    <w:basedOn w:val="Carpredefinitoparagrafo"/>
    <w:rsid w:val="00AF5D7B"/>
  </w:style>
  <w:style w:type="character" w:customStyle="1" w:styleId="metaauthor">
    <w:name w:val="meta_author"/>
    <w:basedOn w:val="Carpredefinitoparagrafo"/>
    <w:rsid w:val="00AF5D7B"/>
  </w:style>
  <w:style w:type="character" w:customStyle="1" w:styleId="uficommentbody">
    <w:name w:val="uficommentbody"/>
    <w:basedOn w:val="Carpredefinitoparagrafo"/>
    <w:rsid w:val="00AF5D7B"/>
  </w:style>
  <w:style w:type="table" w:styleId="Grigliatabella">
    <w:name w:val="Table Grid"/>
    <w:basedOn w:val="Tabellanormale"/>
    <w:uiPriority w:val="59"/>
    <w:rsid w:val="00AF5D7B"/>
    <w:pPr>
      <w:spacing w:after="0"/>
      <w:ind w:left="23"/>
      <w:jc w:val="both"/>
    </w:pPr>
    <w:rPr>
      <w:rFonts w:ascii="Times New Roman" w:eastAsia="Calibri" w:hAnsi="Times New Roman" w:cs="Times New Roman"/>
      <w:bCs/>
      <w:iCs/>
      <w:kern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AF5D7B"/>
    <w:pPr>
      <w:keepNext/>
      <w:spacing w:before="240" w:after="60" w:line="240" w:lineRule="auto"/>
      <w:ind w:left="480" w:right="34"/>
      <w:jc w:val="both"/>
      <w:outlineLvl w:val="0"/>
    </w:pPr>
    <w:rPr>
      <w:rFonts w:ascii="Century Gothic" w:eastAsia="Calibri" w:hAnsi="Century Gothic" w:cs="Century Gothic"/>
      <w:b/>
      <w:bCs/>
      <w:sz w:val="32"/>
      <w:szCs w:val="32"/>
      <w:lang w:eastAsia="it-IT"/>
    </w:rPr>
  </w:style>
  <w:style w:type="paragraph" w:styleId="Titolo2">
    <w:name w:val="heading 2"/>
    <w:basedOn w:val="Normale"/>
    <w:link w:val="Titolo2Carattere"/>
    <w:unhideWhenUsed/>
    <w:qFormat/>
    <w:rsid w:val="00AF5D7B"/>
    <w:pPr>
      <w:keepNext/>
      <w:spacing w:before="240" w:after="60" w:line="240" w:lineRule="auto"/>
      <w:jc w:val="center"/>
      <w:outlineLvl w:val="1"/>
    </w:pPr>
    <w:rPr>
      <w:rFonts w:ascii="Century Gothic" w:eastAsia="Calibri" w:hAnsi="Century Gothic" w:cs="Century Gothic"/>
      <w:sz w:val="24"/>
      <w:szCs w:val="24"/>
      <w:lang w:eastAsia="it-IT"/>
    </w:rPr>
  </w:style>
  <w:style w:type="paragraph" w:styleId="Titolo3">
    <w:name w:val="heading 3"/>
    <w:basedOn w:val="Normale"/>
    <w:link w:val="Titolo3Carattere"/>
    <w:uiPriority w:val="9"/>
    <w:semiHidden/>
    <w:unhideWhenUsed/>
    <w:qFormat/>
    <w:rsid w:val="00AF5D7B"/>
    <w:pPr>
      <w:keepNext/>
      <w:spacing w:before="240" w:after="60" w:line="240" w:lineRule="auto"/>
      <w:jc w:val="both"/>
      <w:outlineLvl w:val="2"/>
    </w:pPr>
    <w:rPr>
      <w:rFonts w:ascii="Century Gothic" w:eastAsia="Calibri" w:hAnsi="Century Gothic" w:cs="Century Gothic"/>
      <w:b/>
      <w:bCs/>
      <w:sz w:val="24"/>
      <w:szCs w:val="24"/>
      <w:lang w:eastAsia="it-IT"/>
    </w:rPr>
  </w:style>
  <w:style w:type="paragraph" w:styleId="Titolo4">
    <w:name w:val="heading 4"/>
    <w:basedOn w:val="Normale"/>
    <w:link w:val="Titolo4Carattere"/>
    <w:uiPriority w:val="9"/>
    <w:semiHidden/>
    <w:unhideWhenUsed/>
    <w:qFormat/>
    <w:rsid w:val="00AF5D7B"/>
    <w:pPr>
      <w:keepNext/>
      <w:spacing w:before="240" w:after="60" w:line="240" w:lineRule="auto"/>
      <w:jc w:val="both"/>
      <w:outlineLvl w:val="3"/>
    </w:pPr>
    <w:rPr>
      <w:rFonts w:ascii="Times New Roman" w:eastAsia="Calibri" w:hAnsi="Times New Roman" w:cs="Times New Roman"/>
      <w:b/>
      <w:bCs/>
      <w:sz w:val="28"/>
      <w:szCs w:val="28"/>
      <w:lang w:eastAsia="it-IT"/>
    </w:rPr>
  </w:style>
  <w:style w:type="paragraph" w:styleId="Titolo6">
    <w:name w:val="heading 6"/>
    <w:basedOn w:val="Normale"/>
    <w:link w:val="Titolo6Carattere"/>
    <w:uiPriority w:val="9"/>
    <w:semiHidden/>
    <w:unhideWhenUsed/>
    <w:qFormat/>
    <w:rsid w:val="00AF5D7B"/>
    <w:pPr>
      <w:spacing w:before="240" w:after="60" w:line="240" w:lineRule="auto"/>
      <w:jc w:val="both"/>
      <w:outlineLvl w:val="5"/>
    </w:pPr>
    <w:rPr>
      <w:rFonts w:ascii="Times New Roman" w:eastAsia="Calibri"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BC1F9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C1F9A"/>
    <w:rPr>
      <w:rFonts w:ascii="Tahoma" w:hAnsi="Tahoma" w:cs="Tahoma"/>
      <w:sz w:val="16"/>
      <w:szCs w:val="16"/>
    </w:rPr>
  </w:style>
  <w:style w:type="paragraph" w:styleId="Nessunaspaziatura">
    <w:name w:val="No Spacing"/>
    <w:uiPriority w:val="1"/>
    <w:qFormat/>
    <w:rsid w:val="00290168"/>
    <w:pPr>
      <w:spacing w:after="0" w:line="240" w:lineRule="auto"/>
    </w:pPr>
  </w:style>
  <w:style w:type="paragraph" w:customStyle="1" w:styleId="Default">
    <w:name w:val="Default"/>
    <w:rsid w:val="00822816"/>
    <w:pPr>
      <w:autoSpaceDE w:val="0"/>
      <w:autoSpaceDN w:val="0"/>
      <w:adjustRightInd w:val="0"/>
      <w:spacing w:after="0" w:line="240" w:lineRule="auto"/>
    </w:pPr>
    <w:rPr>
      <w:rFonts w:ascii="Tahoma" w:hAnsi="Tahoma" w:cs="Tahoma"/>
      <w:color w:val="000000"/>
      <w:sz w:val="24"/>
      <w:szCs w:val="24"/>
    </w:rPr>
  </w:style>
  <w:style w:type="character" w:customStyle="1" w:styleId="Titolo1Carattere">
    <w:name w:val="Titolo 1 Carattere"/>
    <w:basedOn w:val="Carpredefinitoparagrafo"/>
    <w:link w:val="Titolo1"/>
    <w:uiPriority w:val="9"/>
    <w:rsid w:val="00AF5D7B"/>
    <w:rPr>
      <w:rFonts w:ascii="Century Gothic" w:eastAsia="Calibri" w:hAnsi="Century Gothic" w:cs="Century Gothic"/>
      <w:b/>
      <w:bCs/>
      <w:sz w:val="32"/>
      <w:szCs w:val="32"/>
      <w:lang w:eastAsia="it-IT"/>
    </w:rPr>
  </w:style>
  <w:style w:type="character" w:customStyle="1" w:styleId="Titolo2Carattere">
    <w:name w:val="Titolo 2 Carattere"/>
    <w:basedOn w:val="Carpredefinitoparagrafo"/>
    <w:link w:val="Titolo2"/>
    <w:rsid w:val="00AF5D7B"/>
    <w:rPr>
      <w:rFonts w:ascii="Century Gothic" w:eastAsia="Calibri" w:hAnsi="Century Gothic" w:cs="Century Gothic"/>
      <w:sz w:val="24"/>
      <w:szCs w:val="24"/>
      <w:lang w:eastAsia="it-IT"/>
    </w:rPr>
  </w:style>
  <w:style w:type="character" w:customStyle="1" w:styleId="Titolo3Carattere">
    <w:name w:val="Titolo 3 Carattere"/>
    <w:basedOn w:val="Carpredefinitoparagrafo"/>
    <w:link w:val="Titolo3"/>
    <w:uiPriority w:val="9"/>
    <w:semiHidden/>
    <w:rsid w:val="00AF5D7B"/>
    <w:rPr>
      <w:rFonts w:ascii="Century Gothic" w:eastAsia="Calibri" w:hAnsi="Century Gothic" w:cs="Century Gothic"/>
      <w:b/>
      <w:bCs/>
      <w:sz w:val="24"/>
      <w:szCs w:val="24"/>
      <w:lang w:eastAsia="it-IT"/>
    </w:rPr>
  </w:style>
  <w:style w:type="character" w:customStyle="1" w:styleId="Titolo4Carattere">
    <w:name w:val="Titolo 4 Carattere"/>
    <w:basedOn w:val="Carpredefinitoparagrafo"/>
    <w:link w:val="Titolo4"/>
    <w:uiPriority w:val="9"/>
    <w:semiHidden/>
    <w:rsid w:val="00AF5D7B"/>
    <w:rPr>
      <w:rFonts w:ascii="Times New Roman" w:eastAsia="Calibri" w:hAnsi="Times New Roman" w:cs="Times New Roman"/>
      <w:b/>
      <w:bCs/>
      <w:sz w:val="28"/>
      <w:szCs w:val="28"/>
      <w:lang w:eastAsia="it-IT"/>
    </w:rPr>
  </w:style>
  <w:style w:type="character" w:customStyle="1" w:styleId="Titolo6Carattere">
    <w:name w:val="Titolo 6 Carattere"/>
    <w:basedOn w:val="Carpredefinitoparagrafo"/>
    <w:link w:val="Titolo6"/>
    <w:uiPriority w:val="9"/>
    <w:semiHidden/>
    <w:rsid w:val="00AF5D7B"/>
    <w:rPr>
      <w:rFonts w:ascii="Times New Roman" w:eastAsia="Calibri" w:hAnsi="Times New Roman" w:cs="Times New Roman"/>
      <w:b/>
      <w:bCs/>
      <w:sz w:val="24"/>
      <w:szCs w:val="24"/>
      <w:lang w:eastAsia="it-IT"/>
    </w:rPr>
  </w:style>
  <w:style w:type="numbering" w:customStyle="1" w:styleId="Nessunelenco1">
    <w:name w:val="Nessun elenco1"/>
    <w:next w:val="Nessunelenco"/>
    <w:uiPriority w:val="99"/>
    <w:semiHidden/>
    <w:unhideWhenUsed/>
    <w:rsid w:val="00AF5D7B"/>
  </w:style>
  <w:style w:type="character" w:styleId="Collegamentoipertestuale">
    <w:name w:val="Hyperlink"/>
    <w:basedOn w:val="Carpredefinitoparagrafo"/>
    <w:uiPriority w:val="99"/>
    <w:unhideWhenUsed/>
    <w:qFormat/>
    <w:rsid w:val="00AF5D7B"/>
    <w:rPr>
      <w:rFonts w:ascii="Century Gothic" w:eastAsia="SimSun" w:hAnsi="Century Gothic" w:hint="default"/>
      <w:i/>
      <w:iCs w:val="0"/>
      <w:strike w:val="0"/>
      <w:dstrike w:val="0"/>
      <w:color w:val="002776"/>
      <w:sz w:val="26"/>
      <w:szCs w:val="28"/>
      <w:u w:val="none"/>
      <w:effect w:val="none"/>
    </w:rPr>
  </w:style>
  <w:style w:type="character" w:styleId="Collegamentovisitato">
    <w:name w:val="FollowedHyperlink"/>
    <w:basedOn w:val="Carpredefinitoparagrafo"/>
    <w:uiPriority w:val="99"/>
    <w:semiHidden/>
    <w:unhideWhenUsed/>
    <w:qFormat/>
    <w:rsid w:val="00AF5D7B"/>
    <w:rPr>
      <w:rFonts w:ascii="Century Gothic" w:hAnsi="Century Gothic" w:hint="default"/>
      <w:strike w:val="0"/>
      <w:dstrike w:val="0"/>
      <w:color w:val="7030A0"/>
      <w:u w:val="none"/>
      <w:effect w:val="none"/>
    </w:rPr>
  </w:style>
  <w:style w:type="paragraph" w:styleId="NormaleWeb">
    <w:name w:val="Normal (Web)"/>
    <w:basedOn w:val="Normale"/>
    <w:uiPriority w:val="99"/>
    <w:semiHidden/>
    <w:unhideWhenUsed/>
    <w:rsid w:val="00AF5D7B"/>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paragraph" w:styleId="Sommario1">
    <w:name w:val="toc 1"/>
    <w:basedOn w:val="Normale"/>
    <w:autoRedefine/>
    <w:uiPriority w:val="39"/>
    <w:semiHidden/>
    <w:unhideWhenUsed/>
    <w:rsid w:val="00AF5D7B"/>
    <w:pPr>
      <w:spacing w:after="0" w:line="240" w:lineRule="auto"/>
      <w:ind w:right="-2"/>
      <w:jc w:val="both"/>
    </w:pPr>
    <w:rPr>
      <w:rFonts w:ascii="Century Gothic" w:eastAsia="Calibri" w:hAnsi="Century Gothic" w:cs="Times New Roman"/>
      <w:sz w:val="24"/>
      <w:szCs w:val="24"/>
      <w:lang w:eastAsia="it-IT"/>
    </w:rPr>
  </w:style>
  <w:style w:type="paragraph" w:styleId="Sommario3">
    <w:name w:val="toc 3"/>
    <w:basedOn w:val="Normale"/>
    <w:autoRedefine/>
    <w:uiPriority w:val="39"/>
    <w:semiHidden/>
    <w:unhideWhenUsed/>
    <w:rsid w:val="00AF5D7B"/>
    <w:pPr>
      <w:spacing w:after="0" w:line="240" w:lineRule="auto"/>
      <w:ind w:left="440"/>
      <w:jc w:val="both"/>
    </w:pPr>
    <w:rPr>
      <w:rFonts w:ascii="Times New Roman" w:eastAsia="Calibri" w:hAnsi="Times New Roman" w:cs="Times New Roman"/>
      <w:sz w:val="24"/>
      <w:szCs w:val="24"/>
      <w:lang w:eastAsia="it-IT"/>
    </w:rPr>
  </w:style>
  <w:style w:type="paragraph" w:styleId="Testonotaapidipagina">
    <w:name w:val="footnote text"/>
    <w:basedOn w:val="Normale"/>
    <w:link w:val="TestonotaapidipaginaCarattere"/>
    <w:uiPriority w:val="99"/>
    <w:semiHidden/>
    <w:unhideWhenUsed/>
    <w:rsid w:val="00AF5D7B"/>
    <w:pPr>
      <w:spacing w:after="0" w:line="240" w:lineRule="auto"/>
      <w:jc w:val="both"/>
    </w:pPr>
    <w:rPr>
      <w:rFonts w:ascii="Times New Roman" w:eastAsia="Calibri" w:hAnsi="Times New Roman" w:cs="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AF5D7B"/>
    <w:rPr>
      <w:rFonts w:ascii="Times New Roman" w:eastAsia="Calibri" w:hAnsi="Times New Roman" w:cs="Times New Roman"/>
      <w:sz w:val="24"/>
      <w:szCs w:val="24"/>
      <w:lang w:eastAsia="it-IT"/>
    </w:rPr>
  </w:style>
  <w:style w:type="paragraph" w:styleId="Intestazione">
    <w:name w:val="header"/>
    <w:basedOn w:val="Normale"/>
    <w:link w:val="IntestazioneCarattere"/>
    <w:uiPriority w:val="99"/>
    <w:semiHidden/>
    <w:unhideWhenUsed/>
    <w:rsid w:val="00AF5D7B"/>
    <w:pPr>
      <w:spacing w:after="0" w:line="240" w:lineRule="auto"/>
      <w:jc w:val="both"/>
    </w:pPr>
    <w:rPr>
      <w:rFonts w:ascii="Times New Roman" w:eastAsia="Calibri" w:hAnsi="Times New Roman" w:cs="Times New Roman"/>
      <w:sz w:val="24"/>
      <w:szCs w:val="24"/>
      <w:lang w:eastAsia="it-IT"/>
    </w:rPr>
  </w:style>
  <w:style w:type="character" w:customStyle="1" w:styleId="IntestazioneCarattere">
    <w:name w:val="Intestazione Carattere"/>
    <w:basedOn w:val="Carpredefinitoparagrafo"/>
    <w:link w:val="Intestazione"/>
    <w:uiPriority w:val="99"/>
    <w:semiHidden/>
    <w:rsid w:val="00AF5D7B"/>
    <w:rPr>
      <w:rFonts w:ascii="Times New Roman" w:eastAsia="Calibri" w:hAnsi="Times New Roman" w:cs="Times New Roman"/>
      <w:sz w:val="24"/>
      <w:szCs w:val="24"/>
      <w:lang w:eastAsia="it-IT"/>
    </w:rPr>
  </w:style>
  <w:style w:type="paragraph" w:styleId="Pidipagina">
    <w:name w:val="footer"/>
    <w:basedOn w:val="Normale"/>
    <w:link w:val="PidipaginaCarattere"/>
    <w:uiPriority w:val="99"/>
    <w:semiHidden/>
    <w:unhideWhenUsed/>
    <w:rsid w:val="00AF5D7B"/>
    <w:pPr>
      <w:spacing w:after="0" w:line="240" w:lineRule="auto"/>
      <w:jc w:val="both"/>
    </w:pPr>
    <w:rPr>
      <w:rFonts w:ascii="Times New Roman" w:eastAsia="Calibri" w:hAnsi="Times New Roman" w:cs="Times New Roman"/>
      <w:sz w:val="24"/>
      <w:szCs w:val="24"/>
      <w:lang w:eastAsia="it-IT"/>
    </w:rPr>
  </w:style>
  <w:style w:type="character" w:customStyle="1" w:styleId="PidipaginaCarattere">
    <w:name w:val="Piè di pagina Carattere"/>
    <w:basedOn w:val="Carpredefinitoparagrafo"/>
    <w:link w:val="Pidipagina"/>
    <w:uiPriority w:val="99"/>
    <w:semiHidden/>
    <w:rsid w:val="00AF5D7B"/>
    <w:rPr>
      <w:rFonts w:ascii="Times New Roman" w:eastAsia="Calibri" w:hAnsi="Times New Roman" w:cs="Times New Roman"/>
      <w:sz w:val="24"/>
      <w:szCs w:val="24"/>
      <w:lang w:eastAsia="it-IT"/>
    </w:rPr>
  </w:style>
  <w:style w:type="paragraph" w:styleId="Titolo">
    <w:name w:val="Title"/>
    <w:basedOn w:val="Normale"/>
    <w:link w:val="TitoloCarattere"/>
    <w:uiPriority w:val="10"/>
    <w:qFormat/>
    <w:rsid w:val="00AF5D7B"/>
    <w:pPr>
      <w:spacing w:before="240" w:after="60" w:line="240" w:lineRule="auto"/>
      <w:jc w:val="center"/>
    </w:pPr>
    <w:rPr>
      <w:rFonts w:ascii="Arial" w:eastAsia="Calibri" w:hAnsi="Arial" w:cs="Arial"/>
      <w:b/>
      <w:bCs/>
      <w:sz w:val="32"/>
      <w:szCs w:val="32"/>
      <w:lang w:eastAsia="it-IT"/>
    </w:rPr>
  </w:style>
  <w:style w:type="character" w:customStyle="1" w:styleId="TitoloCarattere">
    <w:name w:val="Titolo Carattere"/>
    <w:basedOn w:val="Carpredefinitoparagrafo"/>
    <w:link w:val="Titolo"/>
    <w:uiPriority w:val="10"/>
    <w:rsid w:val="00AF5D7B"/>
    <w:rPr>
      <w:rFonts w:ascii="Arial" w:eastAsia="Calibri" w:hAnsi="Arial" w:cs="Arial"/>
      <w:b/>
      <w:bCs/>
      <w:sz w:val="32"/>
      <w:szCs w:val="32"/>
      <w:lang w:eastAsia="it-IT"/>
    </w:rPr>
  </w:style>
  <w:style w:type="paragraph" w:styleId="Sottotitolo">
    <w:name w:val="Subtitle"/>
    <w:basedOn w:val="Normale"/>
    <w:next w:val="Normale"/>
    <w:link w:val="SottotitoloCarattere"/>
    <w:uiPriority w:val="11"/>
    <w:qFormat/>
    <w:rsid w:val="00AF5D7B"/>
    <w:pPr>
      <w:spacing w:after="0" w:line="240" w:lineRule="auto"/>
      <w:ind w:left="600"/>
      <w:jc w:val="both"/>
    </w:pPr>
    <w:rPr>
      <w:rFonts w:ascii="Cambria" w:eastAsia="Times New Roman" w:hAnsi="Cambria" w:cs="Times New Roman"/>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AF5D7B"/>
    <w:rPr>
      <w:rFonts w:ascii="Cambria" w:eastAsia="Times New Roman" w:hAnsi="Cambria" w:cs="Times New Roman"/>
      <w:i/>
      <w:iCs/>
      <w:color w:val="4F81BD" w:themeColor="accent1"/>
      <w:spacing w:val="15"/>
      <w:sz w:val="24"/>
      <w:szCs w:val="24"/>
      <w:lang w:eastAsia="it-IT"/>
    </w:rPr>
  </w:style>
  <w:style w:type="paragraph" w:styleId="Data">
    <w:name w:val="Date"/>
    <w:basedOn w:val="Normale"/>
    <w:link w:val="DataCarattere"/>
    <w:uiPriority w:val="99"/>
    <w:semiHidden/>
    <w:unhideWhenUsed/>
    <w:rsid w:val="00AF5D7B"/>
    <w:pPr>
      <w:spacing w:after="0" w:line="240" w:lineRule="auto"/>
      <w:jc w:val="both"/>
    </w:pPr>
    <w:rPr>
      <w:rFonts w:ascii="Century Gothic" w:eastAsia="Calibri" w:hAnsi="Century Gothic" w:cs="Times New Roman"/>
      <w:sz w:val="24"/>
      <w:szCs w:val="24"/>
      <w:lang w:eastAsia="it-IT"/>
    </w:rPr>
  </w:style>
  <w:style w:type="character" w:customStyle="1" w:styleId="DataCarattere">
    <w:name w:val="Data Carattere"/>
    <w:basedOn w:val="Carpredefinitoparagrafo"/>
    <w:link w:val="Data"/>
    <w:uiPriority w:val="99"/>
    <w:semiHidden/>
    <w:rsid w:val="00AF5D7B"/>
    <w:rPr>
      <w:rFonts w:ascii="Century Gothic" w:eastAsia="Calibri" w:hAnsi="Century Gothic" w:cs="Times New Roman"/>
      <w:sz w:val="24"/>
      <w:szCs w:val="24"/>
      <w:lang w:eastAsia="it-IT"/>
    </w:rPr>
  </w:style>
  <w:style w:type="paragraph" w:styleId="Testodelblocco">
    <w:name w:val="Block Text"/>
    <w:basedOn w:val="Normale"/>
    <w:uiPriority w:val="99"/>
    <w:semiHidden/>
    <w:unhideWhenUsed/>
    <w:rsid w:val="00AF5D7B"/>
    <w:pPr>
      <w:spacing w:after="0" w:line="240" w:lineRule="auto"/>
      <w:ind w:left="480"/>
      <w:jc w:val="both"/>
    </w:pPr>
    <w:rPr>
      <w:rFonts w:ascii="Century Gothic" w:eastAsia="Calibri" w:hAnsi="Century Gothic" w:cs="Times New Roman"/>
      <w:color w:val="FF0000"/>
      <w:sz w:val="18"/>
      <w:szCs w:val="18"/>
      <w:lang w:eastAsia="it-IT"/>
    </w:rPr>
  </w:style>
  <w:style w:type="paragraph" w:styleId="Testonormale">
    <w:name w:val="Plain Text"/>
    <w:basedOn w:val="Normale"/>
    <w:link w:val="TestonormaleCarattere"/>
    <w:uiPriority w:val="99"/>
    <w:semiHidden/>
    <w:unhideWhenUsed/>
    <w:rsid w:val="00AF5D7B"/>
    <w:pPr>
      <w:spacing w:after="0" w:line="240" w:lineRule="auto"/>
      <w:jc w:val="both"/>
    </w:pPr>
    <w:rPr>
      <w:rFonts w:ascii="Calibri" w:eastAsia="Calibri" w:hAnsi="Calibri" w:cs="Times New Roman"/>
      <w:sz w:val="24"/>
      <w:szCs w:val="21"/>
      <w:lang w:eastAsia="it-IT"/>
    </w:rPr>
  </w:style>
  <w:style w:type="character" w:customStyle="1" w:styleId="TestonormaleCarattere">
    <w:name w:val="Testo normale Carattere"/>
    <w:basedOn w:val="Carpredefinitoparagrafo"/>
    <w:link w:val="Testonormale"/>
    <w:uiPriority w:val="99"/>
    <w:semiHidden/>
    <w:rsid w:val="00AF5D7B"/>
    <w:rPr>
      <w:rFonts w:ascii="Calibri" w:eastAsia="Calibri" w:hAnsi="Calibri" w:cs="Times New Roman"/>
      <w:sz w:val="24"/>
      <w:szCs w:val="21"/>
      <w:lang w:eastAsia="it-IT"/>
    </w:rPr>
  </w:style>
  <w:style w:type="paragraph" w:styleId="Paragrafoelenco">
    <w:name w:val="List Paragraph"/>
    <w:basedOn w:val="Normale"/>
    <w:uiPriority w:val="34"/>
    <w:qFormat/>
    <w:rsid w:val="00AF5D7B"/>
    <w:pPr>
      <w:spacing w:after="0" w:line="240" w:lineRule="auto"/>
      <w:ind w:left="720"/>
      <w:jc w:val="both"/>
    </w:pPr>
    <w:rPr>
      <w:rFonts w:ascii="Century Gothic" w:eastAsia="Calibri" w:hAnsi="Century Gothic" w:cs="Times New Roman"/>
      <w:sz w:val="24"/>
      <w:szCs w:val="24"/>
      <w:lang w:eastAsia="it-IT"/>
    </w:rPr>
  </w:style>
  <w:style w:type="character" w:customStyle="1" w:styleId="linkCarattere">
    <w:name w:val="link Carattere"/>
    <w:basedOn w:val="Carpredefinitoparagrafo"/>
    <w:link w:val="link"/>
    <w:uiPriority w:val="99"/>
    <w:locked/>
    <w:rsid w:val="00AF5D7B"/>
    <w:rPr>
      <w:rFonts w:ascii="Century Gothic" w:hAnsi="Century Gothic" w:cs="Century Gothic"/>
      <w:bCs/>
      <w:iCs/>
      <w:sz w:val="24"/>
      <w:szCs w:val="24"/>
      <w:lang w:eastAsia="it-IT"/>
    </w:rPr>
  </w:style>
  <w:style w:type="paragraph" w:customStyle="1" w:styleId="link">
    <w:name w:val="link"/>
    <w:basedOn w:val="Normale"/>
    <w:link w:val="linkCarattere"/>
    <w:autoRedefine/>
    <w:uiPriority w:val="99"/>
    <w:rsid w:val="00AF5D7B"/>
    <w:pPr>
      <w:tabs>
        <w:tab w:val="left" w:pos="708"/>
      </w:tabs>
      <w:spacing w:before="100" w:beforeAutospacing="1" w:after="100" w:afterAutospacing="1" w:line="240" w:lineRule="auto"/>
      <w:ind w:left="170" w:right="-39"/>
      <w:jc w:val="both"/>
    </w:pPr>
    <w:rPr>
      <w:rFonts w:ascii="Century Gothic" w:hAnsi="Century Gothic" w:cs="Century Gothic"/>
      <w:bCs/>
      <w:iCs/>
      <w:sz w:val="24"/>
      <w:szCs w:val="24"/>
      <w:lang w:eastAsia="it-IT"/>
    </w:rPr>
  </w:style>
  <w:style w:type="paragraph" w:customStyle="1" w:styleId="msolistparagraphcxspfirst">
    <w:name w:val="msolistparagraphcxspfirst"/>
    <w:basedOn w:val="Normale"/>
    <w:uiPriority w:val="99"/>
    <w:semiHidden/>
    <w:rsid w:val="00AF5D7B"/>
    <w:pPr>
      <w:spacing w:after="0" w:line="240" w:lineRule="auto"/>
      <w:ind w:left="720"/>
      <w:jc w:val="both"/>
    </w:pPr>
    <w:rPr>
      <w:rFonts w:ascii="Century Gothic" w:eastAsia="Calibri" w:hAnsi="Century Gothic" w:cs="Times New Roman"/>
      <w:sz w:val="24"/>
      <w:szCs w:val="24"/>
      <w:lang w:eastAsia="it-IT"/>
    </w:rPr>
  </w:style>
  <w:style w:type="paragraph" w:customStyle="1" w:styleId="msolistparagraphcxspmiddle">
    <w:name w:val="msolistparagraphcxspmiddle"/>
    <w:basedOn w:val="Normale"/>
    <w:uiPriority w:val="99"/>
    <w:semiHidden/>
    <w:rsid w:val="00AF5D7B"/>
    <w:pPr>
      <w:spacing w:after="0" w:line="240" w:lineRule="auto"/>
      <w:ind w:left="720"/>
      <w:jc w:val="both"/>
    </w:pPr>
    <w:rPr>
      <w:rFonts w:ascii="Century Gothic" w:eastAsia="Calibri" w:hAnsi="Century Gothic" w:cs="Times New Roman"/>
      <w:sz w:val="24"/>
      <w:szCs w:val="24"/>
      <w:lang w:eastAsia="it-IT"/>
    </w:rPr>
  </w:style>
  <w:style w:type="paragraph" w:customStyle="1" w:styleId="msolistparagraphcxsplast">
    <w:name w:val="msolistparagraphcxsplast"/>
    <w:basedOn w:val="Normale"/>
    <w:uiPriority w:val="99"/>
    <w:semiHidden/>
    <w:rsid w:val="00AF5D7B"/>
    <w:pPr>
      <w:spacing w:after="0" w:line="240" w:lineRule="auto"/>
      <w:ind w:left="720"/>
      <w:jc w:val="both"/>
    </w:pPr>
    <w:rPr>
      <w:rFonts w:ascii="Century Gothic" w:eastAsia="Calibri" w:hAnsi="Century Gothic" w:cs="Times New Roman"/>
      <w:sz w:val="24"/>
      <w:szCs w:val="24"/>
      <w:lang w:eastAsia="it-IT"/>
    </w:rPr>
  </w:style>
  <w:style w:type="paragraph" w:customStyle="1" w:styleId="Stile1">
    <w:name w:val="Stile1"/>
    <w:basedOn w:val="Normale"/>
    <w:uiPriority w:val="99"/>
    <w:semiHidden/>
    <w:rsid w:val="00AF5D7B"/>
    <w:pPr>
      <w:spacing w:after="0" w:line="240" w:lineRule="auto"/>
      <w:jc w:val="both"/>
    </w:pPr>
    <w:rPr>
      <w:rFonts w:ascii="Garamond" w:eastAsia="Calibri" w:hAnsi="Garamond" w:cs="Times New Roman"/>
      <w:sz w:val="24"/>
      <w:szCs w:val="24"/>
      <w:lang w:eastAsia="it-IT"/>
    </w:rPr>
  </w:style>
  <w:style w:type="paragraph" w:customStyle="1" w:styleId="msonospacing0">
    <w:name w:val="msonospacing"/>
    <w:basedOn w:val="Normale"/>
    <w:uiPriority w:val="1"/>
    <w:semiHidden/>
    <w:qFormat/>
    <w:rsid w:val="00AF5D7B"/>
    <w:pPr>
      <w:spacing w:after="0" w:line="240" w:lineRule="auto"/>
      <w:ind w:left="2160"/>
      <w:jc w:val="both"/>
    </w:pPr>
    <w:rPr>
      <w:rFonts w:ascii="Century Gothic" w:eastAsia="Calibri" w:hAnsi="Century Gothic" w:cs="Times New Roman"/>
      <w:color w:val="0F243E"/>
      <w:sz w:val="24"/>
      <w:szCs w:val="24"/>
      <w:lang w:eastAsia="it-IT"/>
    </w:rPr>
  </w:style>
  <w:style w:type="paragraph" w:customStyle="1" w:styleId="by-line">
    <w:name w:val="by-line"/>
    <w:basedOn w:val="Normale"/>
    <w:uiPriority w:val="99"/>
    <w:semiHidden/>
    <w:rsid w:val="00AF5D7B"/>
    <w:pPr>
      <w:spacing w:before="100" w:beforeAutospacing="1" w:after="100" w:afterAutospacing="1" w:line="240" w:lineRule="auto"/>
      <w:jc w:val="both"/>
    </w:pPr>
    <w:rPr>
      <w:rFonts w:ascii="Century Gothic" w:eastAsia="Calibri" w:hAnsi="Century Gothic" w:cs="Times New Roman"/>
      <w:sz w:val="24"/>
      <w:szCs w:val="24"/>
      <w:lang w:eastAsia="it-IT"/>
    </w:rPr>
  </w:style>
  <w:style w:type="paragraph" w:customStyle="1" w:styleId="msochpdefault">
    <w:name w:val="msochpdefault"/>
    <w:basedOn w:val="Normale"/>
    <w:uiPriority w:val="99"/>
    <w:semiHidden/>
    <w:rsid w:val="00AF5D7B"/>
    <w:pPr>
      <w:spacing w:before="100" w:beforeAutospacing="1" w:after="100" w:afterAutospacing="1" w:line="240" w:lineRule="auto"/>
      <w:jc w:val="both"/>
    </w:pPr>
    <w:rPr>
      <w:rFonts w:ascii="Times New Roman" w:eastAsia="Calibri" w:hAnsi="Times New Roman" w:cs="Times New Roman"/>
      <w:sz w:val="24"/>
      <w:szCs w:val="24"/>
    </w:rPr>
  </w:style>
  <w:style w:type="paragraph" w:customStyle="1" w:styleId="msotocheading0">
    <w:name w:val="msotocheading"/>
    <w:basedOn w:val="Titolo1"/>
    <w:next w:val="Normale"/>
    <w:uiPriority w:val="39"/>
    <w:semiHidden/>
    <w:qFormat/>
    <w:rsid w:val="00AF5D7B"/>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AF5D7B"/>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after="0" w:line="240" w:lineRule="auto"/>
      <w:jc w:val="both"/>
    </w:pPr>
    <w:rPr>
      <w:rFonts w:ascii="Arial" w:eastAsia="Calibri" w:hAnsi="Arial" w:cs="Times New Roman"/>
      <w:spacing w:val="-2"/>
      <w:sz w:val="28"/>
      <w:szCs w:val="24"/>
      <w:lang w:val="fr-FR" w:eastAsia="en-GB"/>
    </w:rPr>
  </w:style>
  <w:style w:type="paragraph" w:customStyle="1" w:styleId="msonospacing00">
    <w:name w:val="msonospacing0"/>
    <w:basedOn w:val="Normale"/>
    <w:uiPriority w:val="99"/>
    <w:semiHidden/>
    <w:qFormat/>
    <w:rsid w:val="00AF5D7B"/>
    <w:pPr>
      <w:spacing w:before="100" w:beforeAutospacing="1" w:after="100" w:afterAutospacing="1" w:line="240" w:lineRule="auto"/>
      <w:jc w:val="both"/>
    </w:pPr>
    <w:rPr>
      <w:rFonts w:ascii="Century Gothic" w:eastAsia="Calibri" w:hAnsi="Century Gothic" w:cs="Century Gothic"/>
      <w:sz w:val="24"/>
      <w:szCs w:val="24"/>
      <w:lang w:eastAsia="it-IT"/>
    </w:rPr>
  </w:style>
  <w:style w:type="character" w:styleId="Rimandonotaapidipagina">
    <w:name w:val="footnote reference"/>
    <w:basedOn w:val="Carpredefinitoparagrafo"/>
    <w:uiPriority w:val="99"/>
    <w:semiHidden/>
    <w:unhideWhenUsed/>
    <w:rsid w:val="00AF5D7B"/>
    <w:rPr>
      <w:vertAlign w:val="superscript"/>
    </w:rPr>
  </w:style>
  <w:style w:type="character" w:customStyle="1" w:styleId="occhiello">
    <w:name w:val="occhiello"/>
    <w:basedOn w:val="Carpredefinitoparagrafo"/>
    <w:rsid w:val="00AF5D7B"/>
  </w:style>
  <w:style w:type="character" w:customStyle="1" w:styleId="titolo10">
    <w:name w:val="titolo1"/>
    <w:basedOn w:val="Carpredefinitoparagrafo"/>
    <w:rsid w:val="00AF5D7B"/>
  </w:style>
  <w:style w:type="character" w:customStyle="1" w:styleId="sommario">
    <w:name w:val="sommario"/>
    <w:basedOn w:val="Carpredefinitoparagrafo"/>
    <w:rsid w:val="00AF5D7B"/>
  </w:style>
  <w:style w:type="character" w:customStyle="1" w:styleId="txt12">
    <w:name w:val="txt12"/>
    <w:basedOn w:val="Carpredefinitoparagrafo"/>
    <w:rsid w:val="00AF5D7B"/>
  </w:style>
  <w:style w:type="character" w:customStyle="1" w:styleId="articolotitolo1">
    <w:name w:val="articolotitolo1"/>
    <w:basedOn w:val="Carpredefinitoparagrafo"/>
    <w:rsid w:val="00AF5D7B"/>
    <w:rPr>
      <w:rFonts w:ascii="Verdana" w:hAnsi="Verdana" w:hint="default"/>
      <w:b/>
      <w:bCs/>
      <w:strike w:val="0"/>
      <w:dstrike w:val="0"/>
      <w:color w:val="000000"/>
      <w:u w:val="none"/>
      <w:effect w:val="none"/>
    </w:rPr>
  </w:style>
  <w:style w:type="character" w:customStyle="1" w:styleId="grame">
    <w:name w:val="grame"/>
    <w:basedOn w:val="Carpredefinitoparagrafo"/>
    <w:rsid w:val="00AF5D7B"/>
  </w:style>
  <w:style w:type="character" w:customStyle="1" w:styleId="grigioscuro">
    <w:name w:val="grigioscuro"/>
    <w:basedOn w:val="Carpredefinitoparagrafo"/>
    <w:rsid w:val="00AF5D7B"/>
  </w:style>
  <w:style w:type="character" w:customStyle="1" w:styleId="fwb1">
    <w:name w:val="fwb1"/>
    <w:rsid w:val="00AF5D7B"/>
    <w:rPr>
      <w:b/>
      <w:bCs/>
    </w:rPr>
  </w:style>
  <w:style w:type="character" w:customStyle="1" w:styleId="usercontent">
    <w:name w:val="usercontent"/>
    <w:basedOn w:val="Carpredefinitoparagrafo"/>
    <w:rsid w:val="00AF5D7B"/>
  </w:style>
  <w:style w:type="character" w:customStyle="1" w:styleId="credits">
    <w:name w:val="credits"/>
    <w:basedOn w:val="Carpredefinitoparagrafo"/>
    <w:rsid w:val="00AF5D7B"/>
  </w:style>
  <w:style w:type="character" w:customStyle="1" w:styleId="metaauthor">
    <w:name w:val="meta_author"/>
    <w:basedOn w:val="Carpredefinitoparagrafo"/>
    <w:rsid w:val="00AF5D7B"/>
  </w:style>
  <w:style w:type="character" w:customStyle="1" w:styleId="uficommentbody">
    <w:name w:val="uficommentbody"/>
    <w:basedOn w:val="Carpredefinitoparagrafo"/>
    <w:rsid w:val="00AF5D7B"/>
  </w:style>
  <w:style w:type="table" w:styleId="Grigliatabella">
    <w:name w:val="Table Grid"/>
    <w:basedOn w:val="Tabellanormale"/>
    <w:uiPriority w:val="59"/>
    <w:rsid w:val="00AF5D7B"/>
    <w:pPr>
      <w:spacing w:after="0"/>
      <w:ind w:left="23"/>
      <w:jc w:val="both"/>
    </w:pPr>
    <w:rPr>
      <w:rFonts w:ascii="Times New Roman" w:eastAsia="Calibri" w:hAnsi="Times New Roman" w:cs="Times New Roman"/>
      <w:bCs/>
      <w:iCs/>
      <w:kern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915645">
      <w:bodyDiv w:val="1"/>
      <w:marLeft w:val="0"/>
      <w:marRight w:val="0"/>
      <w:marTop w:val="0"/>
      <w:marBottom w:val="0"/>
      <w:divBdr>
        <w:top w:val="none" w:sz="0" w:space="0" w:color="auto"/>
        <w:left w:val="none" w:sz="0" w:space="0" w:color="auto"/>
        <w:bottom w:val="none" w:sz="0" w:space="0" w:color="auto"/>
        <w:right w:val="none" w:sz="0" w:space="0" w:color="auto"/>
      </w:divBdr>
    </w:div>
    <w:div w:id="1568877888">
      <w:bodyDiv w:val="1"/>
      <w:marLeft w:val="0"/>
      <w:marRight w:val="0"/>
      <w:marTop w:val="0"/>
      <w:marBottom w:val="0"/>
      <w:divBdr>
        <w:top w:val="none" w:sz="0" w:space="0" w:color="auto"/>
        <w:left w:val="none" w:sz="0" w:space="0" w:color="auto"/>
        <w:bottom w:val="none" w:sz="0" w:space="0" w:color="auto"/>
        <w:right w:val="none" w:sz="0" w:space="0" w:color="auto"/>
      </w:divBdr>
      <w:divsChild>
        <w:div w:id="558368017">
          <w:marLeft w:val="0"/>
          <w:marRight w:val="0"/>
          <w:marTop w:val="0"/>
          <w:marBottom w:val="0"/>
          <w:divBdr>
            <w:top w:val="none" w:sz="0" w:space="0" w:color="auto"/>
            <w:left w:val="none" w:sz="0" w:space="0" w:color="auto"/>
            <w:bottom w:val="none" w:sz="0" w:space="0" w:color="auto"/>
            <w:right w:val="none" w:sz="0" w:space="0" w:color="auto"/>
          </w:divBdr>
          <w:divsChild>
            <w:div w:id="371879908">
              <w:marLeft w:val="0"/>
              <w:marRight w:val="0"/>
              <w:marTop w:val="0"/>
              <w:marBottom w:val="0"/>
              <w:divBdr>
                <w:top w:val="none" w:sz="0" w:space="0" w:color="auto"/>
                <w:left w:val="none" w:sz="0" w:space="0" w:color="auto"/>
                <w:bottom w:val="none" w:sz="0" w:space="0" w:color="auto"/>
                <w:right w:val="none" w:sz="0" w:space="0" w:color="auto"/>
              </w:divBdr>
              <w:divsChild>
                <w:div w:id="1370957607">
                  <w:marLeft w:val="0"/>
                  <w:marRight w:val="0"/>
                  <w:marTop w:val="0"/>
                  <w:marBottom w:val="0"/>
                  <w:divBdr>
                    <w:top w:val="none" w:sz="0" w:space="0" w:color="auto"/>
                    <w:left w:val="none" w:sz="0" w:space="0" w:color="auto"/>
                    <w:bottom w:val="none" w:sz="0" w:space="0" w:color="auto"/>
                    <w:right w:val="none" w:sz="0" w:space="0" w:color="auto"/>
                  </w:divBdr>
                  <w:divsChild>
                    <w:div w:id="339165884">
                      <w:marLeft w:val="0"/>
                      <w:marRight w:val="0"/>
                      <w:marTop w:val="0"/>
                      <w:marBottom w:val="0"/>
                      <w:divBdr>
                        <w:top w:val="none" w:sz="0" w:space="0" w:color="auto"/>
                        <w:left w:val="none" w:sz="0" w:space="0" w:color="auto"/>
                        <w:bottom w:val="none" w:sz="0" w:space="0" w:color="auto"/>
                        <w:right w:val="none" w:sz="0" w:space="0" w:color="auto"/>
                      </w:divBdr>
                      <w:divsChild>
                        <w:div w:id="300160672">
                          <w:marLeft w:val="0"/>
                          <w:marRight w:val="0"/>
                          <w:marTop w:val="0"/>
                          <w:marBottom w:val="0"/>
                          <w:divBdr>
                            <w:top w:val="none" w:sz="0" w:space="0" w:color="auto"/>
                            <w:left w:val="none" w:sz="0" w:space="0" w:color="auto"/>
                            <w:bottom w:val="none" w:sz="0" w:space="0" w:color="auto"/>
                            <w:right w:val="none" w:sz="0" w:space="0" w:color="auto"/>
                          </w:divBdr>
                          <w:divsChild>
                            <w:div w:id="43600438">
                              <w:marLeft w:val="0"/>
                              <w:marRight w:val="0"/>
                              <w:marTop w:val="0"/>
                              <w:marBottom w:val="0"/>
                              <w:divBdr>
                                <w:top w:val="none" w:sz="0" w:space="0" w:color="auto"/>
                                <w:left w:val="none" w:sz="0" w:space="0" w:color="auto"/>
                                <w:bottom w:val="none" w:sz="0" w:space="0" w:color="auto"/>
                                <w:right w:val="none" w:sz="0" w:space="0" w:color="auto"/>
                              </w:divBdr>
                              <w:divsChild>
                                <w:div w:id="1556358136">
                                  <w:marLeft w:val="0"/>
                                  <w:marRight w:val="0"/>
                                  <w:marTop w:val="0"/>
                                  <w:marBottom w:val="0"/>
                                  <w:divBdr>
                                    <w:top w:val="none" w:sz="0" w:space="0" w:color="auto"/>
                                    <w:left w:val="none" w:sz="0" w:space="0" w:color="auto"/>
                                    <w:bottom w:val="none" w:sz="0" w:space="0" w:color="auto"/>
                                    <w:right w:val="none" w:sz="0" w:space="0" w:color="auto"/>
                                  </w:divBdr>
                                  <w:divsChild>
                                    <w:div w:id="1283267932">
                                      <w:marLeft w:val="0"/>
                                      <w:marRight w:val="0"/>
                                      <w:marTop w:val="0"/>
                                      <w:marBottom w:val="0"/>
                                      <w:divBdr>
                                        <w:top w:val="none" w:sz="0" w:space="0" w:color="auto"/>
                                        <w:left w:val="none" w:sz="0" w:space="0" w:color="auto"/>
                                        <w:bottom w:val="none" w:sz="0" w:space="0" w:color="auto"/>
                                        <w:right w:val="none" w:sz="0" w:space="0" w:color="auto"/>
                                      </w:divBdr>
                                      <w:divsChild>
                                        <w:div w:id="1438908919">
                                          <w:marLeft w:val="0"/>
                                          <w:marRight w:val="0"/>
                                          <w:marTop w:val="0"/>
                                          <w:marBottom w:val="0"/>
                                          <w:divBdr>
                                            <w:top w:val="none" w:sz="0" w:space="0" w:color="auto"/>
                                            <w:left w:val="none" w:sz="0" w:space="0" w:color="auto"/>
                                            <w:bottom w:val="none" w:sz="0" w:space="0" w:color="auto"/>
                                            <w:right w:val="none" w:sz="0" w:space="0" w:color="auto"/>
                                          </w:divBdr>
                                        </w:div>
                                        <w:div w:id="288173461">
                                          <w:marLeft w:val="0"/>
                                          <w:marRight w:val="0"/>
                                          <w:marTop w:val="0"/>
                                          <w:marBottom w:val="150"/>
                                          <w:divBdr>
                                            <w:top w:val="none" w:sz="0" w:space="0" w:color="auto"/>
                                            <w:left w:val="none" w:sz="0" w:space="0" w:color="auto"/>
                                            <w:bottom w:val="none" w:sz="0" w:space="0" w:color="auto"/>
                                            <w:right w:val="none" w:sz="0" w:space="0" w:color="auto"/>
                                          </w:divBdr>
                                          <w:divsChild>
                                            <w:div w:id="1486824310">
                                              <w:marLeft w:val="0"/>
                                              <w:marRight w:val="0"/>
                                              <w:marTop w:val="0"/>
                                              <w:marBottom w:val="0"/>
                                              <w:divBdr>
                                                <w:top w:val="none" w:sz="0" w:space="0" w:color="auto"/>
                                                <w:left w:val="none" w:sz="0" w:space="0" w:color="auto"/>
                                                <w:bottom w:val="none" w:sz="0" w:space="0" w:color="auto"/>
                                                <w:right w:val="none" w:sz="0" w:space="0" w:color="auto"/>
                                              </w:divBdr>
                                            </w:div>
                                            <w:div w:id="139689813">
                                              <w:marLeft w:val="0"/>
                                              <w:marRight w:val="0"/>
                                              <w:marTop w:val="0"/>
                                              <w:marBottom w:val="0"/>
                                              <w:divBdr>
                                                <w:top w:val="none" w:sz="0" w:space="0" w:color="auto"/>
                                                <w:left w:val="none" w:sz="0" w:space="0" w:color="auto"/>
                                                <w:bottom w:val="none" w:sz="0" w:space="0" w:color="auto"/>
                                                <w:right w:val="none" w:sz="0" w:space="0" w:color="auto"/>
                                              </w:divBdr>
                                            </w:div>
                                          </w:divsChild>
                                        </w:div>
                                        <w:div w:id="578099267">
                                          <w:marLeft w:val="0"/>
                                          <w:marRight w:val="0"/>
                                          <w:marTop w:val="225"/>
                                          <w:marBottom w:val="0"/>
                                          <w:divBdr>
                                            <w:top w:val="none" w:sz="0" w:space="0" w:color="auto"/>
                                            <w:left w:val="none" w:sz="0" w:space="0" w:color="auto"/>
                                            <w:bottom w:val="none" w:sz="0" w:space="0" w:color="auto"/>
                                            <w:right w:val="none" w:sz="0" w:space="0" w:color="auto"/>
                                          </w:divBdr>
                                          <w:divsChild>
                                            <w:div w:id="67457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ankitalia.i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5</Pages>
  <Words>2207</Words>
  <Characters>12580</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Elio</dc:creator>
  <cp:lastModifiedBy>Mauro Novelli</cp:lastModifiedBy>
  <cp:revision>5</cp:revision>
  <dcterms:created xsi:type="dcterms:W3CDTF">2013-10-05T08:48:00Z</dcterms:created>
  <dcterms:modified xsi:type="dcterms:W3CDTF">2013-10-06T09:42:00Z</dcterms:modified>
</cp:coreProperties>
</file>