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446A8">
      <w:pPr>
        <w:pStyle w:val="Nessunaspaziatura"/>
        <w:jc w:val="center"/>
      </w:pPr>
      <w:r>
        <w:t>COMUNICATO STAMPA</w:t>
      </w:r>
    </w:p>
    <w:p w:rsidR="00000000" w:rsidRDefault="000446A8">
      <w:pPr>
        <w:pStyle w:val="Nessunaspaziatura"/>
      </w:pPr>
    </w:p>
    <w:p w:rsidR="00000000" w:rsidRDefault="000446A8">
      <w:pPr>
        <w:pStyle w:val="Nessunaspaziatura"/>
        <w:jc w:val="center"/>
      </w:pPr>
      <w:r>
        <w:t xml:space="preserve">DERIVATI:  SI STRINGE LA MORSA, PENALE E CIVILE, ATTORNO ALLE BANCHE CHE HANNO APPIOPPATO SWAP TRUFFALDINI. ADUSBEF E FEDERCONSUMATORI, PRONTE AD OFFRIRE CONSULENZA LEGALE, INVITANO  </w:t>
      </w:r>
      <w:r>
        <w:t>GLI ENTI LOCALI AD USCIRE ALLO SCOPERTO,DENUNCIANDO LE BANCHE CHE HANNO PIAZZATO TITOLI TOSSICI AGLI ENTI LOCALI PER UN VALORE NOZIONALE DI 23 MILIARDI DI EURO.</w:t>
      </w:r>
    </w:p>
    <w:p w:rsidR="00000000" w:rsidRDefault="000446A8">
      <w:pPr>
        <w:pStyle w:val="Nessunaspaziatura"/>
      </w:pPr>
    </w:p>
    <w:p w:rsidR="00000000" w:rsidRDefault="000446A8">
      <w:pPr>
        <w:pStyle w:val="Nessunaspaziatura"/>
      </w:pPr>
      <w:r>
        <w:t xml:space="preserve">    Si stringe sempre più la morsa, civile e penale, attorno alle banche che hanno appioppati </w:t>
      </w:r>
      <w:r>
        <w:t xml:space="preserve">titoli tossici agli enti locali, con contratti capestro e condizioni truffaldine, che non lasciano più alibi o giustificazioni. Dopo la sentenza n.3459 dello scorso 18 settembre della Corte d’Appello di Milano (Presidente Maria Rosaria Sodano, consigliere </w:t>
      </w:r>
      <w:r>
        <w:t>relatore Carla Romana Raineri), di nullità dei contratti tossici, che invece di offrire coperture tangibili ai rischi finanziari assunti dai clienti, avevano l’unica finalità di garantire guadagni certi alle banche, fior di incentivi ai manager e perdite r</w:t>
      </w:r>
      <w:r>
        <w:t xml:space="preserve">ilevanti ai sottoscrittori;  la condanna inflitta  dal Pm di Milano Alfredo </w:t>
      </w:r>
      <w:proofErr w:type="spellStart"/>
      <w:r>
        <w:t>Robledo</w:t>
      </w:r>
      <w:proofErr w:type="spellEnd"/>
      <w:r>
        <w:t xml:space="preserve">,  a carico di </w:t>
      </w:r>
      <w:proofErr w:type="spellStart"/>
      <w:r>
        <w:t>Ubs</w:t>
      </w:r>
      <w:proofErr w:type="spellEnd"/>
      <w:r>
        <w:t xml:space="preserve">, </w:t>
      </w:r>
      <w:proofErr w:type="spellStart"/>
      <w:r>
        <w:t>Jp</w:t>
      </w:r>
      <w:proofErr w:type="spellEnd"/>
      <w:r>
        <w:t xml:space="preserve"> Morgan, </w:t>
      </w:r>
      <w:proofErr w:type="spellStart"/>
      <w:r>
        <w:t>Deutsche</w:t>
      </w:r>
      <w:proofErr w:type="spellEnd"/>
      <w:r>
        <w:t xml:space="preserve"> </w:t>
      </w:r>
      <w:proofErr w:type="spellStart"/>
      <w:r>
        <w:t>Bank</w:t>
      </w:r>
      <w:proofErr w:type="spellEnd"/>
      <w:r>
        <w:t xml:space="preserve"> e </w:t>
      </w:r>
      <w:proofErr w:type="spellStart"/>
      <w:r>
        <w:t>Depfa</w:t>
      </w:r>
      <w:proofErr w:type="spellEnd"/>
      <w:r>
        <w:t xml:space="preserve"> </w:t>
      </w:r>
      <w:proofErr w:type="spellStart"/>
      <w:r>
        <w:t>Bank</w:t>
      </w:r>
      <w:proofErr w:type="spellEnd"/>
      <w:r>
        <w:t>, che ha fatto recuperare 100 milioni di euro al Comune di Milano; il processo a carico di 20 manager di Unicredit d</w:t>
      </w:r>
      <w:r>
        <w:t xml:space="preserve">ella Procura di Trani (Pm Isabella </w:t>
      </w:r>
      <w:proofErr w:type="spellStart"/>
      <w:r>
        <w:t>Ginefra</w:t>
      </w:r>
      <w:proofErr w:type="spellEnd"/>
      <w:r>
        <w:t xml:space="preserve">) per i derivati tossici appioppati alla </w:t>
      </w:r>
      <w:proofErr w:type="spellStart"/>
      <w:r>
        <w:t>Divania</w:t>
      </w:r>
      <w:proofErr w:type="spellEnd"/>
      <w:r>
        <w:t xml:space="preserve"> di Bari, con il conseguente dissesto; </w:t>
      </w:r>
      <w:proofErr w:type="spellStart"/>
      <w:r>
        <w:t>ioggi</w:t>
      </w:r>
      <w:proofErr w:type="spellEnd"/>
      <w:r>
        <w:t xml:space="preserve"> è arrivato il sequestro preventivo, per l’importo di oltre 15 milioni di euro, disposto dalla Procura di Verona in relazi</w:t>
      </w:r>
      <w:r>
        <w:t xml:space="preserve">one proprio ai derivati </w:t>
      </w:r>
      <w:proofErr w:type="spellStart"/>
      <w:r>
        <w:t>Merril</w:t>
      </w:r>
      <w:proofErr w:type="spellEnd"/>
      <w:r>
        <w:t xml:space="preserve"> Lynch appioppati al comune di Verona.</w:t>
      </w:r>
    </w:p>
    <w:p w:rsidR="00000000" w:rsidRDefault="000446A8">
      <w:pPr>
        <w:pStyle w:val="Nessunaspaziatura"/>
      </w:pPr>
      <w:r>
        <w:t xml:space="preserve">    Lo schema truffaldino scoperto dai finanzieri scaligeri nel corso delle indagini su </w:t>
      </w:r>
      <w:proofErr w:type="spellStart"/>
      <w:r>
        <w:t>Merril</w:t>
      </w:r>
      <w:proofErr w:type="spellEnd"/>
      <w:r>
        <w:t xml:space="preserve"> Lynch  è analogo alle altre inchieste giudiziarie di mezza Italia (compresa la Procura di Ca</w:t>
      </w:r>
      <w:r>
        <w:t>tanzaro), che procedono per il reato di truffa aggravata:  la banca d’affari avrebbe indotto il Comune di Verona a ritenere sussistenti le condizioni di convenienza economica di ristrutturazione del debito comunale, con la proposta di sottoscrivere operazi</w:t>
      </w:r>
      <w:r>
        <w:t>oni in derivati per un importo nozionale superiore ai 256 milioni di euro, con l’occultamento doloso di commissioni occulte, per l’importo di 15 milioni di euro, oggi sequestrati perché  oggetto della frode.</w:t>
      </w:r>
    </w:p>
    <w:p w:rsidR="00000000" w:rsidRDefault="000446A8">
      <w:pPr>
        <w:pStyle w:val="Nessunaspaziatura"/>
      </w:pPr>
      <w:r>
        <w:t>     Adusbef e Federconsumatori, a fronte di der</w:t>
      </w:r>
      <w:r>
        <w:t xml:space="preserve">ivati tossici presenti nei bilanci di 206 gli Enti Locali (che hanno sottoscritto contratti </w:t>
      </w:r>
      <w:proofErr w:type="spellStart"/>
      <w:r>
        <w:t>Irs</w:t>
      </w:r>
      <w:proofErr w:type="spellEnd"/>
      <w:r>
        <w:t xml:space="preserve"> per trasformare i mutui da tassi variabili a fisso ) stimati in oltre 22,6 miliardi di euro, che hanno generato  perdite potenziali per 6,7 miliardi di euro, in</w:t>
      </w:r>
      <w:r>
        <w:t>vitano gli Enti locali ad uscire allo scoperto con una offensiva giudiziaria di denuncia penale e di ricorsi in sede civile contro le banche, che troveranno adeguata assistenza  giuridica, legale e peritale da associazioni che oltre a battersi  senza tregu</w:t>
      </w:r>
      <w:r>
        <w:t>a contro truffe ed abusi dei banchieri, hanno sollevato i problemi dei contratti truffaldini sui derivati tossici.</w:t>
      </w:r>
    </w:p>
    <w:p w:rsidR="00000000" w:rsidRDefault="000446A8">
      <w:pPr>
        <w:spacing w:before="100" w:beforeAutospacing="1" w:after="100" w:afterAutospacing="1" w:line="240" w:lineRule="auto"/>
        <w:jc w:val="center"/>
        <w:rPr>
          <w:rFonts w:ascii="Arial" w:hAnsi="Arial" w:cs="Arial"/>
          <w:color w:val="080000"/>
          <w:sz w:val="21"/>
          <w:szCs w:val="21"/>
          <w:lang w:eastAsia="it-IT"/>
        </w:rPr>
      </w:pPr>
      <w:bookmarkStart w:id="0" w:name="_GoBack"/>
      <w:bookmarkEnd w:id="0"/>
      <w:r>
        <w:rPr>
          <w:rFonts w:ascii="Arial" w:hAnsi="Arial" w:cs="Arial"/>
          <w:b/>
          <w:color w:val="080000"/>
          <w:sz w:val="21"/>
          <w:szCs w:val="21"/>
          <w:lang w:eastAsia="it-IT"/>
        </w:rPr>
        <w:t>Valore nozionale dell’esposizione in derivati degli enti locali al 31/12/2012 (milioni di euro)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9"/>
        <w:gridCol w:w="1186"/>
        <w:gridCol w:w="715"/>
        <w:gridCol w:w="996"/>
        <w:gridCol w:w="815"/>
        <w:gridCol w:w="996"/>
        <w:gridCol w:w="915"/>
        <w:gridCol w:w="1094"/>
        <w:gridCol w:w="1452"/>
      </w:tblGrid>
      <w:tr w:rsidR="00000000" w:rsidTr="009E4DDE">
        <w:trPr>
          <w:jc w:val="center"/>
        </w:trPr>
        <w:tc>
          <w:tcPr>
            <w:tcW w:w="1755" w:type="dxa"/>
            <w:tcMar>
              <w:top w:w="120" w:type="dxa"/>
              <w:left w:w="120" w:type="dxa"/>
              <w:bottom w:w="120" w:type="dxa"/>
              <w:right w:w="120" w:type="dxa"/>
            </w:tcMar>
            <w:hideMark/>
          </w:tcPr>
          <w:p w:rsidR="00000000" w:rsidRDefault="000446A8">
            <w:pPr>
              <w:spacing w:after="0"/>
              <w:jc w:val="both"/>
              <w:rPr>
                <w:rFonts w:ascii="Century Gothic" w:hAnsi="Century Gothic"/>
                <w:bCs/>
                <w:iCs/>
                <w:kern w:val="36"/>
              </w:rPr>
            </w:pPr>
          </w:p>
        </w:tc>
        <w:tc>
          <w:tcPr>
            <w:tcW w:w="1935" w:type="dxa"/>
            <w:gridSpan w:val="2"/>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CAPITALE NOZIONALE</w:t>
            </w:r>
          </w:p>
        </w:tc>
        <w:tc>
          <w:tcPr>
            <w:tcW w:w="1710" w:type="dxa"/>
            <w:gridSpan w:val="2"/>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NUMERO ENTI</w:t>
            </w:r>
          </w:p>
        </w:tc>
        <w:tc>
          <w:tcPr>
            <w:tcW w:w="1860" w:type="dxa"/>
            <w:gridSpan w:val="2"/>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NUMERO CONTRATTI</w:t>
            </w:r>
          </w:p>
        </w:tc>
        <w:tc>
          <w:tcPr>
            <w:tcW w:w="2400" w:type="dxa"/>
            <w:gridSpan w:val="2"/>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CAPITALE NOZIONALE MEDIO</w:t>
            </w:r>
          </w:p>
        </w:tc>
      </w:tr>
      <w:tr w:rsidR="00000000" w:rsidTr="009E4DDE">
        <w:trPr>
          <w:jc w:val="center"/>
        </w:trPr>
        <w:tc>
          <w:tcPr>
            <w:tcW w:w="1755" w:type="dxa"/>
            <w:tcMar>
              <w:top w:w="120" w:type="dxa"/>
              <w:left w:w="120" w:type="dxa"/>
              <w:bottom w:w="120" w:type="dxa"/>
              <w:right w:w="120" w:type="dxa"/>
            </w:tcMar>
            <w:hideMark/>
          </w:tcPr>
          <w:p w:rsidR="00000000" w:rsidRDefault="000446A8">
            <w:pPr>
              <w:spacing w:after="0"/>
              <w:jc w:val="both"/>
              <w:rPr>
                <w:rFonts w:ascii="Century Gothic" w:hAnsi="Century Gothic"/>
                <w:bCs/>
                <w:iCs/>
                <w:kern w:val="36"/>
              </w:rPr>
            </w:pPr>
          </w:p>
        </w:tc>
        <w:tc>
          <w:tcPr>
            <w:tcW w:w="121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VALORI</w:t>
            </w:r>
          </w:p>
        </w:tc>
        <w:tc>
          <w:tcPr>
            <w:tcW w:w="72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w:t>
            </w:r>
          </w:p>
        </w:tc>
        <w:tc>
          <w:tcPr>
            <w:tcW w:w="87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VALORI</w:t>
            </w:r>
          </w:p>
        </w:tc>
        <w:tc>
          <w:tcPr>
            <w:tcW w:w="84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w:t>
            </w:r>
          </w:p>
        </w:tc>
        <w:tc>
          <w:tcPr>
            <w:tcW w:w="90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VALORI</w:t>
            </w:r>
          </w:p>
        </w:tc>
        <w:tc>
          <w:tcPr>
            <w:tcW w:w="96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w:t>
            </w:r>
          </w:p>
        </w:tc>
        <w:tc>
          <w:tcPr>
            <w:tcW w:w="115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PER ENTE</w:t>
            </w:r>
          </w:p>
        </w:tc>
        <w:tc>
          <w:tcPr>
            <w:tcW w:w="123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PER CONTRATTO</w:t>
            </w:r>
          </w:p>
        </w:tc>
      </w:tr>
      <w:tr w:rsidR="00000000" w:rsidTr="009E4DDE">
        <w:trPr>
          <w:jc w:val="center"/>
        </w:trPr>
        <w:tc>
          <w:tcPr>
            <w:tcW w:w="1755" w:type="dxa"/>
            <w:tcMar>
              <w:top w:w="120" w:type="dxa"/>
              <w:left w:w="120" w:type="dxa"/>
              <w:bottom w:w="120" w:type="dxa"/>
              <w:right w:w="120" w:type="dxa"/>
            </w:tcMar>
            <w:hideMark/>
          </w:tcPr>
          <w:p w:rsidR="00000000" w:rsidRDefault="000446A8">
            <w:pPr>
              <w:spacing w:after="0" w:line="240" w:lineRule="auto"/>
              <w:rPr>
                <w:rFonts w:ascii="Times New Roman" w:hAnsi="Times New Roman"/>
                <w:sz w:val="20"/>
                <w:szCs w:val="20"/>
                <w:lang w:eastAsia="it-IT"/>
              </w:rPr>
            </w:pPr>
            <w:r>
              <w:rPr>
                <w:rFonts w:ascii="Times New Roman" w:hAnsi="Times New Roman"/>
                <w:sz w:val="20"/>
                <w:szCs w:val="20"/>
                <w:lang w:eastAsia="it-IT"/>
              </w:rPr>
              <w:t>REGIONI E PROV. AUTONOME</w:t>
            </w:r>
          </w:p>
        </w:tc>
        <w:tc>
          <w:tcPr>
            <w:tcW w:w="121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17.158,00</w:t>
            </w:r>
          </w:p>
        </w:tc>
        <w:tc>
          <w:tcPr>
            <w:tcW w:w="72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61,97</w:t>
            </w:r>
          </w:p>
        </w:tc>
        <w:tc>
          <w:tcPr>
            <w:tcW w:w="87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19</w:t>
            </w:r>
          </w:p>
        </w:tc>
        <w:tc>
          <w:tcPr>
            <w:tcW w:w="84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7,14</w:t>
            </w:r>
          </w:p>
        </w:tc>
        <w:tc>
          <w:tcPr>
            <w:tcW w:w="90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102</w:t>
            </w:r>
          </w:p>
        </w:tc>
        <w:tc>
          <w:tcPr>
            <w:tcW w:w="96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19,54</w:t>
            </w:r>
          </w:p>
        </w:tc>
        <w:tc>
          <w:tcPr>
            <w:tcW w:w="115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903,00</w:t>
            </w:r>
          </w:p>
        </w:tc>
        <w:tc>
          <w:tcPr>
            <w:tcW w:w="123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168,20</w:t>
            </w:r>
          </w:p>
        </w:tc>
      </w:tr>
      <w:tr w:rsidR="00000000" w:rsidTr="009E4DDE">
        <w:trPr>
          <w:jc w:val="center"/>
        </w:trPr>
        <w:tc>
          <w:tcPr>
            <w:tcW w:w="1755" w:type="dxa"/>
            <w:tcMar>
              <w:top w:w="120" w:type="dxa"/>
              <w:left w:w="120" w:type="dxa"/>
              <w:bottom w:w="120" w:type="dxa"/>
              <w:right w:w="120" w:type="dxa"/>
            </w:tcMar>
            <w:hideMark/>
          </w:tcPr>
          <w:p w:rsidR="00000000" w:rsidRDefault="000446A8">
            <w:pPr>
              <w:spacing w:after="0" w:line="240" w:lineRule="auto"/>
              <w:rPr>
                <w:rFonts w:ascii="Times New Roman" w:hAnsi="Times New Roman"/>
                <w:sz w:val="20"/>
                <w:szCs w:val="20"/>
                <w:lang w:eastAsia="it-IT"/>
              </w:rPr>
            </w:pPr>
            <w:r>
              <w:rPr>
                <w:rFonts w:ascii="Times New Roman" w:hAnsi="Times New Roman"/>
                <w:sz w:val="20"/>
                <w:szCs w:val="20"/>
                <w:lang w:eastAsia="it-IT"/>
              </w:rPr>
              <w:t>PROVINCE</w:t>
            </w:r>
          </w:p>
        </w:tc>
        <w:tc>
          <w:tcPr>
            <w:tcW w:w="121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2.492,00</w:t>
            </w:r>
          </w:p>
        </w:tc>
        <w:tc>
          <w:tcPr>
            <w:tcW w:w="72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9,00</w:t>
            </w:r>
          </w:p>
        </w:tc>
        <w:tc>
          <w:tcPr>
            <w:tcW w:w="87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32</w:t>
            </w:r>
          </w:p>
        </w:tc>
        <w:tc>
          <w:tcPr>
            <w:tcW w:w="84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12,03</w:t>
            </w:r>
          </w:p>
        </w:tc>
        <w:tc>
          <w:tcPr>
            <w:tcW w:w="90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82</w:t>
            </w:r>
          </w:p>
        </w:tc>
        <w:tc>
          <w:tcPr>
            <w:tcW w:w="96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15,71</w:t>
            </w:r>
          </w:p>
        </w:tc>
        <w:tc>
          <w:tcPr>
            <w:tcW w:w="115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77,90</w:t>
            </w:r>
          </w:p>
        </w:tc>
        <w:tc>
          <w:tcPr>
            <w:tcW w:w="123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30,40</w:t>
            </w:r>
          </w:p>
        </w:tc>
      </w:tr>
      <w:tr w:rsidR="00000000" w:rsidTr="009E4DDE">
        <w:trPr>
          <w:jc w:val="center"/>
        </w:trPr>
        <w:tc>
          <w:tcPr>
            <w:tcW w:w="1755" w:type="dxa"/>
            <w:tcMar>
              <w:top w:w="120" w:type="dxa"/>
              <w:left w:w="120" w:type="dxa"/>
              <w:bottom w:w="120" w:type="dxa"/>
              <w:right w:w="120" w:type="dxa"/>
            </w:tcMar>
            <w:hideMark/>
          </w:tcPr>
          <w:p w:rsidR="00000000" w:rsidRDefault="000446A8">
            <w:pPr>
              <w:spacing w:after="0" w:line="240" w:lineRule="auto"/>
              <w:rPr>
                <w:rFonts w:ascii="Times New Roman" w:hAnsi="Times New Roman"/>
                <w:sz w:val="20"/>
                <w:szCs w:val="20"/>
                <w:lang w:eastAsia="it-IT"/>
              </w:rPr>
            </w:pPr>
            <w:r>
              <w:rPr>
                <w:rFonts w:ascii="Times New Roman" w:hAnsi="Times New Roman"/>
                <w:sz w:val="20"/>
                <w:szCs w:val="20"/>
                <w:lang w:eastAsia="it-IT"/>
              </w:rPr>
              <w:t>COMUNI CAPOLUOGO</w:t>
            </w:r>
          </w:p>
        </w:tc>
        <w:tc>
          <w:tcPr>
            <w:tcW w:w="121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6.240,00</w:t>
            </w:r>
          </w:p>
        </w:tc>
        <w:tc>
          <w:tcPr>
            <w:tcW w:w="72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22,54</w:t>
            </w:r>
          </w:p>
        </w:tc>
        <w:tc>
          <w:tcPr>
            <w:tcW w:w="87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33</w:t>
            </w:r>
          </w:p>
        </w:tc>
        <w:tc>
          <w:tcPr>
            <w:tcW w:w="84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12,41</w:t>
            </w:r>
          </w:p>
        </w:tc>
        <w:tc>
          <w:tcPr>
            <w:tcW w:w="90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97</w:t>
            </w:r>
          </w:p>
        </w:tc>
        <w:tc>
          <w:tcPr>
            <w:tcW w:w="96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18,58</w:t>
            </w:r>
          </w:p>
        </w:tc>
        <w:tc>
          <w:tcPr>
            <w:tcW w:w="115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189,10</w:t>
            </w:r>
          </w:p>
        </w:tc>
        <w:tc>
          <w:tcPr>
            <w:tcW w:w="123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64,30</w:t>
            </w:r>
          </w:p>
        </w:tc>
      </w:tr>
      <w:tr w:rsidR="00000000" w:rsidTr="009E4DDE">
        <w:trPr>
          <w:jc w:val="center"/>
        </w:trPr>
        <w:tc>
          <w:tcPr>
            <w:tcW w:w="1755" w:type="dxa"/>
            <w:tcMar>
              <w:top w:w="120" w:type="dxa"/>
              <w:left w:w="120" w:type="dxa"/>
              <w:bottom w:w="120" w:type="dxa"/>
              <w:right w:w="120" w:type="dxa"/>
            </w:tcMar>
            <w:hideMark/>
          </w:tcPr>
          <w:p w:rsidR="00000000" w:rsidRDefault="000446A8">
            <w:pPr>
              <w:spacing w:after="0" w:line="240" w:lineRule="auto"/>
              <w:rPr>
                <w:rFonts w:ascii="Times New Roman" w:hAnsi="Times New Roman"/>
                <w:sz w:val="20"/>
                <w:szCs w:val="20"/>
                <w:lang w:eastAsia="it-IT"/>
              </w:rPr>
            </w:pPr>
            <w:r>
              <w:rPr>
                <w:rFonts w:ascii="Times New Roman" w:hAnsi="Times New Roman"/>
                <w:sz w:val="20"/>
                <w:szCs w:val="20"/>
                <w:lang w:eastAsia="it-IT"/>
              </w:rPr>
              <w:t>ALTRI COMUNI</w:t>
            </w:r>
          </w:p>
        </w:tc>
        <w:tc>
          <w:tcPr>
            <w:tcW w:w="121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1.796,00</w:t>
            </w:r>
          </w:p>
        </w:tc>
        <w:tc>
          <w:tcPr>
            <w:tcW w:w="72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6,49</w:t>
            </w:r>
          </w:p>
        </w:tc>
        <w:tc>
          <w:tcPr>
            <w:tcW w:w="87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182</w:t>
            </w:r>
          </w:p>
        </w:tc>
        <w:tc>
          <w:tcPr>
            <w:tcW w:w="84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68,42</w:t>
            </w:r>
          </w:p>
        </w:tc>
        <w:tc>
          <w:tcPr>
            <w:tcW w:w="90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241</w:t>
            </w:r>
          </w:p>
        </w:tc>
        <w:tc>
          <w:tcPr>
            <w:tcW w:w="96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46,17</w:t>
            </w:r>
          </w:p>
        </w:tc>
        <w:tc>
          <w:tcPr>
            <w:tcW w:w="115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9,90</w:t>
            </w:r>
          </w:p>
        </w:tc>
        <w:tc>
          <w:tcPr>
            <w:tcW w:w="123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7,50</w:t>
            </w:r>
          </w:p>
        </w:tc>
      </w:tr>
      <w:tr w:rsidR="00000000" w:rsidTr="009E4DDE">
        <w:trPr>
          <w:jc w:val="center"/>
        </w:trPr>
        <w:tc>
          <w:tcPr>
            <w:tcW w:w="1755" w:type="dxa"/>
            <w:tcMar>
              <w:top w:w="120" w:type="dxa"/>
              <w:left w:w="120" w:type="dxa"/>
              <w:bottom w:w="120" w:type="dxa"/>
              <w:right w:w="120" w:type="dxa"/>
            </w:tcMar>
            <w:hideMark/>
          </w:tcPr>
          <w:p w:rsidR="00000000" w:rsidRDefault="000446A8">
            <w:pPr>
              <w:spacing w:after="0" w:line="240" w:lineRule="auto"/>
              <w:rPr>
                <w:rFonts w:ascii="Times New Roman" w:hAnsi="Times New Roman"/>
                <w:sz w:val="20"/>
                <w:szCs w:val="20"/>
                <w:lang w:eastAsia="it-IT"/>
              </w:rPr>
            </w:pPr>
            <w:r>
              <w:rPr>
                <w:rFonts w:ascii="Times New Roman" w:hAnsi="Times New Roman"/>
                <w:sz w:val="20"/>
                <w:szCs w:val="20"/>
                <w:lang w:eastAsia="it-IT"/>
              </w:rPr>
              <w:t>TOTALE</w:t>
            </w:r>
          </w:p>
        </w:tc>
        <w:tc>
          <w:tcPr>
            <w:tcW w:w="121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b/>
                <w:sz w:val="20"/>
                <w:szCs w:val="20"/>
                <w:lang w:eastAsia="it-IT"/>
              </w:rPr>
              <w:t>22.686,00</w:t>
            </w:r>
          </w:p>
        </w:tc>
        <w:tc>
          <w:tcPr>
            <w:tcW w:w="720" w:type="dxa"/>
            <w:tcMar>
              <w:top w:w="120" w:type="dxa"/>
              <w:left w:w="120" w:type="dxa"/>
              <w:bottom w:w="120" w:type="dxa"/>
              <w:right w:w="120" w:type="dxa"/>
            </w:tcMar>
            <w:hideMark/>
          </w:tcPr>
          <w:p w:rsidR="00000000" w:rsidRDefault="000446A8">
            <w:pPr>
              <w:spacing w:after="0"/>
              <w:jc w:val="both"/>
              <w:rPr>
                <w:rFonts w:ascii="Century Gothic" w:hAnsi="Century Gothic"/>
                <w:bCs/>
                <w:iCs/>
                <w:kern w:val="36"/>
              </w:rPr>
            </w:pPr>
          </w:p>
        </w:tc>
        <w:tc>
          <w:tcPr>
            <w:tcW w:w="87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b/>
                <w:sz w:val="20"/>
                <w:szCs w:val="20"/>
                <w:lang w:eastAsia="it-IT"/>
              </w:rPr>
              <w:t>266</w:t>
            </w:r>
          </w:p>
        </w:tc>
        <w:tc>
          <w:tcPr>
            <w:tcW w:w="840" w:type="dxa"/>
            <w:tcMar>
              <w:top w:w="120" w:type="dxa"/>
              <w:left w:w="120" w:type="dxa"/>
              <w:bottom w:w="120" w:type="dxa"/>
              <w:right w:w="120" w:type="dxa"/>
            </w:tcMar>
            <w:hideMark/>
          </w:tcPr>
          <w:p w:rsidR="00000000" w:rsidRDefault="000446A8">
            <w:pPr>
              <w:spacing w:after="0"/>
              <w:jc w:val="both"/>
              <w:rPr>
                <w:rFonts w:ascii="Century Gothic" w:hAnsi="Century Gothic"/>
                <w:bCs/>
                <w:iCs/>
                <w:kern w:val="36"/>
              </w:rPr>
            </w:pPr>
          </w:p>
        </w:tc>
        <w:tc>
          <w:tcPr>
            <w:tcW w:w="90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522</w:t>
            </w:r>
          </w:p>
        </w:tc>
        <w:tc>
          <w:tcPr>
            <w:tcW w:w="960" w:type="dxa"/>
            <w:tcMar>
              <w:top w:w="120" w:type="dxa"/>
              <w:left w:w="120" w:type="dxa"/>
              <w:bottom w:w="120" w:type="dxa"/>
              <w:right w:w="120" w:type="dxa"/>
            </w:tcMar>
            <w:hideMark/>
          </w:tcPr>
          <w:p w:rsidR="00000000" w:rsidRDefault="000446A8">
            <w:pPr>
              <w:spacing w:after="0"/>
              <w:jc w:val="both"/>
              <w:rPr>
                <w:rFonts w:ascii="Century Gothic" w:hAnsi="Century Gothic"/>
                <w:bCs/>
                <w:iCs/>
                <w:kern w:val="36"/>
              </w:rPr>
            </w:pPr>
          </w:p>
        </w:tc>
        <w:tc>
          <w:tcPr>
            <w:tcW w:w="1155"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104,10</w:t>
            </w:r>
          </w:p>
        </w:tc>
        <w:tc>
          <w:tcPr>
            <w:tcW w:w="1230" w:type="dxa"/>
            <w:tcMar>
              <w:top w:w="120" w:type="dxa"/>
              <w:left w:w="120" w:type="dxa"/>
              <w:bottom w:w="120" w:type="dxa"/>
              <w:right w:w="120" w:type="dxa"/>
            </w:tcMar>
            <w:hideMark/>
          </w:tcPr>
          <w:p w:rsidR="00000000" w:rsidRDefault="000446A8">
            <w:pPr>
              <w:spacing w:before="100" w:beforeAutospacing="1" w:after="100" w:afterAutospacing="1" w:line="240" w:lineRule="auto"/>
              <w:jc w:val="center"/>
              <w:rPr>
                <w:rFonts w:ascii="Times New Roman" w:hAnsi="Times New Roman"/>
                <w:sz w:val="20"/>
                <w:szCs w:val="20"/>
                <w:lang w:eastAsia="it-IT"/>
              </w:rPr>
            </w:pPr>
            <w:r>
              <w:rPr>
                <w:rFonts w:ascii="Times New Roman" w:hAnsi="Times New Roman"/>
                <w:sz w:val="20"/>
                <w:szCs w:val="20"/>
                <w:lang w:eastAsia="it-IT"/>
              </w:rPr>
              <w:t>53,00</w:t>
            </w:r>
          </w:p>
        </w:tc>
      </w:tr>
    </w:tbl>
    <w:p w:rsidR="00000000" w:rsidRDefault="000446A8">
      <w:pPr>
        <w:spacing w:before="100" w:beforeAutospacing="1" w:after="100" w:afterAutospacing="1" w:line="240" w:lineRule="auto"/>
        <w:jc w:val="center"/>
        <w:rPr>
          <w:rFonts w:ascii="Arial" w:hAnsi="Arial" w:cs="Arial"/>
          <w:color w:val="080000"/>
          <w:sz w:val="20"/>
          <w:szCs w:val="20"/>
          <w:lang w:eastAsia="it-IT"/>
        </w:rPr>
      </w:pPr>
      <w:r>
        <w:rPr>
          <w:rFonts w:ascii="Arial" w:hAnsi="Arial" w:cs="Arial"/>
          <w:color w:val="080000"/>
          <w:sz w:val="20"/>
          <w:szCs w:val="20"/>
          <w:lang w:eastAsia="it-IT"/>
        </w:rPr>
        <w:t xml:space="preserve">Fonte: </w:t>
      </w:r>
      <w:r>
        <w:rPr>
          <w:rFonts w:ascii="Arial" w:hAnsi="Arial" w:cs="Arial"/>
          <w:color w:val="080000"/>
          <w:sz w:val="20"/>
          <w:szCs w:val="20"/>
          <w:lang w:eastAsia="it-IT"/>
        </w:rPr>
        <w:t>dipartimento del Tesoro</w:t>
      </w:r>
    </w:p>
    <w:p w:rsidR="00000000" w:rsidRDefault="000446A8">
      <w:pPr>
        <w:spacing w:before="100" w:beforeAutospacing="1" w:after="100" w:afterAutospacing="1" w:line="240" w:lineRule="auto"/>
        <w:jc w:val="center"/>
        <w:rPr>
          <w:rFonts w:ascii="Arial" w:hAnsi="Arial" w:cs="Arial"/>
          <w:color w:val="080000"/>
          <w:sz w:val="20"/>
          <w:szCs w:val="20"/>
          <w:lang w:eastAsia="it-IT"/>
        </w:rPr>
      </w:pPr>
    </w:p>
    <w:p w:rsidR="00000000" w:rsidRDefault="000446A8">
      <w:pPr>
        <w:spacing w:before="100" w:beforeAutospacing="1" w:after="100" w:afterAutospacing="1" w:line="240" w:lineRule="auto"/>
        <w:rPr>
          <w:rFonts w:ascii="Arial" w:hAnsi="Arial" w:cs="Arial"/>
          <w:color w:val="080000"/>
          <w:sz w:val="20"/>
          <w:szCs w:val="20"/>
          <w:lang w:eastAsia="it-IT"/>
        </w:rPr>
      </w:pPr>
      <w:r>
        <w:rPr>
          <w:rFonts w:ascii="Arial" w:hAnsi="Arial" w:cs="Arial"/>
          <w:color w:val="080000"/>
          <w:sz w:val="20"/>
          <w:szCs w:val="20"/>
          <w:lang w:eastAsia="it-IT"/>
        </w:rPr>
        <w:t xml:space="preserve">                                                                                       Elio Lannutti (Adusbef) – Rosario </w:t>
      </w:r>
      <w:proofErr w:type="spellStart"/>
      <w:r>
        <w:rPr>
          <w:rFonts w:ascii="Arial" w:hAnsi="Arial" w:cs="Arial"/>
          <w:color w:val="080000"/>
          <w:sz w:val="20"/>
          <w:szCs w:val="20"/>
          <w:lang w:eastAsia="it-IT"/>
        </w:rPr>
        <w:t>Trefiletti</w:t>
      </w:r>
      <w:proofErr w:type="spellEnd"/>
      <w:r>
        <w:rPr>
          <w:rFonts w:ascii="Arial" w:hAnsi="Arial" w:cs="Arial"/>
          <w:color w:val="080000"/>
          <w:sz w:val="20"/>
          <w:szCs w:val="20"/>
          <w:lang w:eastAsia="it-IT"/>
        </w:rPr>
        <w:t xml:space="preserve"> (Federconsumatori)</w:t>
      </w:r>
    </w:p>
    <w:p w:rsidR="00000000" w:rsidRDefault="000446A8">
      <w:pPr>
        <w:spacing w:before="100" w:beforeAutospacing="1" w:after="100" w:afterAutospacing="1" w:line="240" w:lineRule="auto"/>
        <w:rPr>
          <w:rFonts w:ascii="Arial" w:hAnsi="Arial" w:cs="Arial"/>
          <w:color w:val="080000"/>
          <w:sz w:val="20"/>
          <w:szCs w:val="20"/>
          <w:lang w:eastAsia="it-IT"/>
        </w:rPr>
      </w:pPr>
    </w:p>
    <w:p w:rsidR="00000000" w:rsidRDefault="000446A8">
      <w:pPr>
        <w:spacing w:before="100" w:beforeAutospacing="1" w:after="100" w:afterAutospacing="1" w:line="240" w:lineRule="auto"/>
        <w:rPr>
          <w:rFonts w:ascii="Arial" w:hAnsi="Arial" w:cs="Arial"/>
          <w:color w:val="080000"/>
          <w:sz w:val="20"/>
          <w:szCs w:val="20"/>
          <w:lang w:eastAsia="it-IT"/>
        </w:rPr>
      </w:pPr>
      <w:r>
        <w:rPr>
          <w:rFonts w:ascii="Arial" w:hAnsi="Arial" w:cs="Arial"/>
          <w:color w:val="080000"/>
          <w:sz w:val="20"/>
          <w:szCs w:val="20"/>
          <w:lang w:eastAsia="it-IT"/>
        </w:rPr>
        <w:t>Roma, 3 ottobre 2013</w:t>
      </w:r>
    </w:p>
    <w:p w:rsidR="00000000" w:rsidRDefault="000446A8">
      <w:pPr>
        <w:spacing w:before="100" w:beforeAutospacing="1" w:after="100" w:afterAutospacing="1" w:line="240" w:lineRule="auto"/>
        <w:rPr>
          <w:rFonts w:ascii="Arial" w:hAnsi="Arial" w:cs="Arial"/>
          <w:color w:val="080000"/>
          <w:sz w:val="20"/>
          <w:szCs w:val="20"/>
          <w:lang w:eastAsia="it-IT"/>
        </w:rPr>
      </w:pPr>
    </w:p>
    <w:p w:rsidR="00000000" w:rsidRDefault="000446A8"/>
    <w:p w:rsidR="000446A8" w:rsidRDefault="000446A8"/>
    <w:sectPr w:rsidR="000446A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attachedTemplate r:id="rId1"/>
  <w:defaultTabStop w:val="708"/>
  <w:hyphenationZone w:val="28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DDE"/>
    <w:rsid w:val="000446A8"/>
    <w:rsid w:val="009C7FD7"/>
    <w:rsid w:val="009E4D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rFonts w:ascii="Calibri" w:hAnsi="Calibri"/>
      <w:bCs w:val="0"/>
      <w:iCs w:val="0"/>
      <w:kern w:val="0"/>
      <w:sz w:val="22"/>
      <w:szCs w:val="22"/>
    </w:rPr>
  </w:style>
  <w:style w:type="paragraph" w:styleId="Titolo1">
    <w:name w:val="heading 1"/>
    <w:basedOn w:val="Normale"/>
    <w:link w:val="Titolo1Carattere"/>
    <w:uiPriority w:val="9"/>
    <w:qFormat/>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semiHidden/>
    <w:unhideWhenUsed/>
    <w:qFormat/>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semiHidden/>
    <w:unhideWhenUsed/>
    <w:qFormat/>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semiHidden/>
    <w:unhideWhenUsed/>
    <w:qFormat/>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semiHidden/>
    <w:unhideWhenUsed/>
    <w:qFormat/>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qFormat/>
    <w:rPr>
      <w:rFonts w:ascii="Century Gothic" w:eastAsia="SimSun" w:hAnsi="Century Gothic" w:hint="default"/>
      <w:i/>
      <w:iCs/>
      <w:strike w:val="0"/>
      <w:dstrike w:val="0"/>
      <w:color w:val="002776"/>
      <w:sz w:val="26"/>
      <w:szCs w:val="28"/>
      <w:u w:val="none"/>
      <w:effect w:val="none"/>
    </w:rPr>
  </w:style>
  <w:style w:type="character" w:styleId="Collegamentovisitato">
    <w:name w:val="FollowedHyperlink"/>
    <w:basedOn w:val="Carpredefinitoparagrafo"/>
    <w:uiPriority w:val="99"/>
    <w:semiHidden/>
    <w:unhideWhenUsed/>
    <w:qFormat/>
    <w:rPr>
      <w:rFonts w:ascii="Century Gothic" w:hAnsi="Century Gothic" w:hint="default"/>
      <w:strike w:val="0"/>
      <w:dstrike w:val="0"/>
      <w:color w:val="7030A0"/>
      <w:u w:val="none"/>
      <w:effect w:val="none"/>
    </w:rPr>
  </w:style>
  <w:style w:type="character" w:customStyle="1" w:styleId="Titolo1Carattere">
    <w:name w:val="Titolo 1 Carattere"/>
    <w:basedOn w:val="Carpredefinitoparagrafo"/>
    <w:link w:val="Titolo1"/>
    <w:uiPriority w:val="9"/>
    <w:locked/>
    <w:rPr>
      <w:rFonts w:ascii="Trebuchet MS" w:eastAsiaTheme="minorEastAsia" w:hAnsi="Trebuchet MS" w:cs="Century Gothic" w:hint="default"/>
      <w:b/>
      <w:bCs w:val="0"/>
      <w:kern w:val="36"/>
      <w:sz w:val="32"/>
      <w:szCs w:val="32"/>
      <w:lang w:eastAsia="it-IT"/>
    </w:rPr>
  </w:style>
  <w:style w:type="character" w:customStyle="1" w:styleId="Titolo2Carattere">
    <w:name w:val="Titolo 2 Carattere"/>
    <w:basedOn w:val="Carpredefinitoparagrafo"/>
    <w:link w:val="Titolo2"/>
    <w:semiHidden/>
    <w:locked/>
    <w:rPr>
      <w:rFonts w:ascii="Trebuchet MS" w:eastAsiaTheme="minorEastAsia" w:hAnsi="Trebuchet MS" w:cs="Century Gothic" w:hint="default"/>
      <w:color w:val="008000"/>
      <w:sz w:val="16"/>
      <w:szCs w:val="16"/>
      <w:lang w:eastAsia="it-IT"/>
    </w:rPr>
  </w:style>
  <w:style w:type="character" w:customStyle="1" w:styleId="Titolo3Carattere">
    <w:name w:val="Titolo 3 Carattere"/>
    <w:basedOn w:val="Carpredefinitoparagrafo"/>
    <w:link w:val="Titolo3"/>
    <w:uiPriority w:val="9"/>
    <w:semiHidden/>
    <w:locked/>
    <w:rPr>
      <w:rFonts w:ascii="Trebuchet MS" w:eastAsiaTheme="minorEastAsia" w:hAnsi="Trebuchet MS" w:cs="Century Gothic" w:hint="default"/>
      <w:b/>
      <w:bCs w:val="0"/>
      <w:color w:val="008000"/>
      <w:sz w:val="22"/>
      <w:szCs w:val="22"/>
      <w:lang w:eastAsia="it-IT"/>
    </w:rPr>
  </w:style>
  <w:style w:type="character" w:customStyle="1" w:styleId="Titolo4Carattere">
    <w:name w:val="Titolo 4 Carattere"/>
    <w:basedOn w:val="Carpredefinitoparagrafo"/>
    <w:link w:val="Titolo4"/>
    <w:uiPriority w:val="9"/>
    <w:semiHidden/>
    <w:locked/>
    <w:rPr>
      <w:rFonts w:ascii="Times New Roman" w:eastAsiaTheme="minorEastAsia" w:hAnsi="Times New Roman" w:cs="Times New Roman" w:hint="default"/>
      <w:b/>
      <w:bCs w:val="0"/>
      <w:sz w:val="28"/>
      <w:szCs w:val="28"/>
      <w:lang w:eastAsia="it-IT"/>
    </w:rPr>
  </w:style>
  <w:style w:type="character" w:customStyle="1" w:styleId="Titolo6Carattere">
    <w:name w:val="Titolo 6 Carattere"/>
    <w:basedOn w:val="Carpredefinitoparagrafo"/>
    <w:link w:val="Titolo6"/>
    <w:uiPriority w:val="9"/>
    <w:semiHidden/>
    <w:locked/>
    <w:rPr>
      <w:rFonts w:ascii="Times New Roman" w:eastAsiaTheme="minorEastAsia" w:hAnsi="Times New Roman" w:cs="Times New Roman" w:hint="default"/>
      <w:b/>
      <w:bCs w:val="0"/>
      <w:color w:val="008000"/>
      <w:sz w:val="22"/>
      <w:szCs w:val="22"/>
      <w:lang w:eastAsia="it-IT"/>
    </w:rPr>
  </w:style>
  <w:style w:type="paragraph" w:styleId="NormaleWeb">
    <w:name w:val="Normal (Web)"/>
    <w:basedOn w:val="Normale"/>
    <w:uiPriority w:val="99"/>
    <w:semiHidden/>
    <w:unhideWhenUsed/>
    <w:qFormat/>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paragraph" w:styleId="Sommario1">
    <w:name w:val="toc 1"/>
    <w:basedOn w:val="Normale"/>
    <w:autoRedefine/>
    <w:uiPriority w:val="39"/>
    <w:semiHidden/>
    <w:unhideWhenUsed/>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locked/>
    <w:rPr>
      <w:rFonts w:ascii="Times New Roman" w:eastAsiaTheme="minorEastAsia" w:hAnsi="Times New Roman" w:cs="Times New Roman" w:hint="default"/>
      <w:sz w:val="16"/>
      <w:szCs w:val="16"/>
      <w:lang w:eastAsia="it-IT"/>
    </w:rPr>
  </w:style>
  <w:style w:type="paragraph" w:styleId="Intestazione">
    <w:name w:val="header"/>
    <w:basedOn w:val="Normale"/>
    <w:link w:val="IntestazioneCarattere"/>
    <w:uiPriority w:val="99"/>
    <w:semiHidden/>
    <w:unhideWhenUsed/>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locked/>
    <w:rPr>
      <w:rFonts w:ascii="Times New Roman" w:eastAsiaTheme="minorEastAsia" w:hAnsi="Times New Roman" w:cs="Times New Roman" w:hint="default"/>
      <w:sz w:val="22"/>
      <w:szCs w:val="22"/>
      <w:lang w:eastAsia="it-IT"/>
    </w:rPr>
  </w:style>
  <w:style w:type="paragraph" w:styleId="Pidipagina">
    <w:name w:val="footer"/>
    <w:basedOn w:val="Normale"/>
    <w:link w:val="PidipaginaCarattere"/>
    <w:uiPriority w:val="99"/>
    <w:semiHidden/>
    <w:unhideWhenUsed/>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locked/>
    <w:rPr>
      <w:rFonts w:ascii="Times New Roman" w:eastAsiaTheme="minorEastAsia" w:hAnsi="Times New Roman" w:cs="Times New Roman" w:hint="default"/>
      <w:sz w:val="22"/>
      <w:szCs w:val="22"/>
      <w:lang w:eastAsia="it-IT"/>
    </w:rPr>
  </w:style>
  <w:style w:type="paragraph" w:styleId="Titolo">
    <w:name w:val="Title"/>
    <w:basedOn w:val="Normale"/>
    <w:link w:val="TitoloCarattere"/>
    <w:uiPriority w:val="10"/>
    <w:qFormat/>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locked/>
    <w:rPr>
      <w:rFonts w:ascii="Arial" w:eastAsiaTheme="minorEastAsia" w:hAnsi="Arial" w:cs="Arial" w:hint="default"/>
      <w:b/>
      <w:bCs w:val="0"/>
      <w:color w:val="008000"/>
      <w:sz w:val="32"/>
      <w:szCs w:val="32"/>
      <w:lang w:eastAsia="it-IT"/>
    </w:rPr>
  </w:style>
  <w:style w:type="paragraph" w:styleId="Sottotitolo">
    <w:name w:val="Subtitle"/>
    <w:basedOn w:val="Normale"/>
    <w:next w:val="Normale"/>
    <w:link w:val="SottotitoloCarattere"/>
    <w:uiPriority w:val="11"/>
    <w:qFormat/>
    <w:p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locked/>
    <w:rPr>
      <w:rFonts w:asciiTheme="majorHAnsi" w:eastAsiaTheme="majorEastAsia" w:hAnsiTheme="majorHAnsi" w:cstheme="majorBidi" w:hint="default"/>
      <w:i/>
      <w:iCs w:val="0"/>
      <w:color w:val="4F81BD" w:themeColor="accent1"/>
      <w:spacing w:val="15"/>
      <w:sz w:val="24"/>
      <w:szCs w:val="24"/>
      <w:lang w:eastAsia="it-IT"/>
    </w:rPr>
  </w:style>
  <w:style w:type="paragraph" w:styleId="Data">
    <w:name w:val="Date"/>
    <w:basedOn w:val="Normale"/>
    <w:link w:val="DataCarattere"/>
    <w:uiPriority w:val="99"/>
    <w:semiHidden/>
    <w:unhideWhenUsed/>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locked/>
    <w:rPr>
      <w:rFonts w:ascii="Trebuchet MS" w:eastAsiaTheme="minorEastAsia" w:hAnsi="Trebuchet MS" w:cs="Times New Roman" w:hint="default"/>
      <w:color w:val="008000"/>
      <w:sz w:val="16"/>
      <w:szCs w:val="16"/>
      <w:lang w:eastAsia="it-IT"/>
    </w:rPr>
  </w:style>
  <w:style w:type="paragraph" w:styleId="Testodelblocco">
    <w:name w:val="Block Text"/>
    <w:basedOn w:val="Normale"/>
    <w:uiPriority w:val="99"/>
    <w:semiHidden/>
    <w:unhideWhenUsed/>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locked/>
    <w:rPr>
      <w:rFonts w:ascii="Calibri" w:hAnsi="Calibri" w:hint="default"/>
      <w:sz w:val="22"/>
      <w:szCs w:val="21"/>
    </w:rPr>
  </w:style>
  <w:style w:type="paragraph" w:styleId="Testofumetto">
    <w:name w:val="Balloon Text"/>
    <w:basedOn w:val="Normale"/>
    <w:link w:val="TestofumettoCarattere"/>
    <w:uiPriority w:val="99"/>
    <w:semiHidden/>
    <w:unhideWhenUsed/>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locked/>
    <w:rPr>
      <w:rFonts w:ascii="Tahoma" w:eastAsiaTheme="minorEastAsia" w:hAnsi="Tahoma" w:cs="Tahoma" w:hint="default"/>
      <w:sz w:val="16"/>
      <w:szCs w:val="16"/>
      <w:lang w:eastAsia="it-IT"/>
    </w:rPr>
  </w:style>
  <w:style w:type="paragraph" w:styleId="Nessunaspaziatura">
    <w:name w:val="No Spacing"/>
    <w:basedOn w:val="Normale"/>
    <w:uiPriority w:val="1"/>
    <w:qFormat/>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pPr>
      <w:spacing w:after="0" w:line="240" w:lineRule="auto"/>
      <w:ind w:left="720"/>
      <w:jc w:val="both"/>
    </w:pPr>
    <w:rPr>
      <w:rFonts w:ascii="Century Gothic" w:hAnsi="Century Gothic"/>
      <w:sz w:val="24"/>
      <w:szCs w:val="24"/>
      <w:lang w:eastAsia="it-IT"/>
    </w:rPr>
  </w:style>
  <w:style w:type="character" w:customStyle="1" w:styleId="linkCarattere">
    <w:name w:val="link Carattere"/>
    <w:basedOn w:val="Carpredefinitoparagrafo"/>
    <w:link w:val="link"/>
    <w:uiPriority w:val="99"/>
    <w:locked/>
    <w:rPr>
      <w:rFonts w:ascii="Century Gothic" w:hAnsi="Century Gothic" w:cs="Century Gothic" w:hint="default"/>
    </w:rPr>
  </w:style>
  <w:style w:type="paragraph" w:customStyle="1" w:styleId="link">
    <w:name w:val="link"/>
    <w:basedOn w:val="Normale"/>
    <w:link w:val="linkCarattere"/>
    <w:autoRedefine/>
    <w:uiPriority w:val="99"/>
    <w:pPr>
      <w:tabs>
        <w:tab w:val="left" w:pos="708"/>
      </w:tabs>
      <w:spacing w:before="100" w:beforeAutospacing="1" w:after="100" w:afterAutospacing="1" w:line="240" w:lineRule="auto"/>
      <w:ind w:left="170" w:right="-39"/>
      <w:jc w:val="both"/>
    </w:pPr>
    <w:rPr>
      <w:rFonts w:ascii="Century Gothic" w:hAnsi="Century Gothic" w:cs="Century Gothic"/>
      <w:sz w:val="24"/>
      <w:szCs w:val="24"/>
      <w:lang w:eastAsia="it-IT"/>
    </w:rPr>
  </w:style>
  <w:style w:type="paragraph" w:customStyle="1" w:styleId="msolistparagraphcxspfirst">
    <w:name w:val="msolistparagraphcxspfirst"/>
    <w:basedOn w:val="Normale"/>
    <w:uiPriority w:val="99"/>
    <w:semiHidden/>
    <w:pPr>
      <w:ind w:left="720"/>
    </w:pPr>
  </w:style>
  <w:style w:type="paragraph" w:customStyle="1" w:styleId="msolistparagraphcxspmiddle">
    <w:name w:val="msolistparagraphcxspmiddle"/>
    <w:basedOn w:val="Normale"/>
    <w:uiPriority w:val="99"/>
    <w:semiHidden/>
    <w:pPr>
      <w:ind w:left="720"/>
    </w:pPr>
  </w:style>
  <w:style w:type="paragraph" w:customStyle="1" w:styleId="msolistparagraphcxsplast">
    <w:name w:val="msolistparagraphcxsplast"/>
    <w:basedOn w:val="Normale"/>
    <w:uiPriority w:val="99"/>
    <w:semiHidden/>
    <w:pPr>
      <w:ind w:left="720"/>
    </w:pPr>
  </w:style>
  <w:style w:type="paragraph" w:customStyle="1" w:styleId="Stile1">
    <w:name w:val="Stile1"/>
    <w:basedOn w:val="Normale"/>
    <w:uiPriority w:val="99"/>
    <w:semiHidden/>
    <w:rPr>
      <w:rFonts w:ascii="Garamond" w:hAnsi="Garamond"/>
    </w:rPr>
  </w:style>
  <w:style w:type="paragraph" w:customStyle="1" w:styleId="msonospacing0">
    <w:name w:val="msonospacing"/>
    <w:basedOn w:val="Normale"/>
    <w:uiPriority w:val="1"/>
    <w:semiHidden/>
    <w:qFormat/>
    <w:pPr>
      <w:ind w:left="2160"/>
    </w:pPr>
    <w:rPr>
      <w:color w:val="0F243E"/>
    </w:rPr>
  </w:style>
  <w:style w:type="paragraph" w:customStyle="1" w:styleId="by-line">
    <w:name w:val="by-line"/>
    <w:basedOn w:val="Normale"/>
    <w:uiPriority w:val="99"/>
    <w:semiHidden/>
    <w:pPr>
      <w:spacing w:before="100" w:beforeAutospacing="1" w:after="100" w:afterAutospacing="1"/>
    </w:pPr>
  </w:style>
  <w:style w:type="paragraph" w:customStyle="1" w:styleId="msochpdefault">
    <w:name w:val="msochpdefault"/>
    <w:basedOn w:val="Normale"/>
    <w:uiPriority w:val="99"/>
    <w:semiHidden/>
    <w:pPr>
      <w:spacing w:before="100" w:beforeAutospacing="1" w:after="100" w:afterAutospacing="1"/>
    </w:pPr>
    <w:rPr>
      <w:rFonts w:ascii="Times New Roman" w:hAnsi="Times New Roman"/>
    </w:rPr>
  </w:style>
  <w:style w:type="paragraph" w:customStyle="1" w:styleId="msotocheading0">
    <w:name w:val="msotocheading"/>
    <w:basedOn w:val="Titolo1"/>
    <w:next w:val="Normale"/>
    <w:uiPriority w:val="39"/>
    <w:semiHidden/>
    <w:qFormat/>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pPr>
      <w:spacing w:before="100" w:beforeAutospacing="1" w:after="100" w:afterAutospacing="1"/>
    </w:pPr>
    <w:rPr>
      <w:rFonts w:cs="Century Gothic"/>
    </w:rPr>
  </w:style>
  <w:style w:type="character" w:styleId="Rimandonotaapidipagina">
    <w:name w:val="footnote reference"/>
    <w:basedOn w:val="Carpredefinitoparagrafo"/>
    <w:uiPriority w:val="99"/>
    <w:semiHidden/>
    <w:unhideWhenUsed/>
    <w:rPr>
      <w:vertAlign w:val="superscript"/>
    </w:rPr>
  </w:style>
  <w:style w:type="character" w:customStyle="1" w:styleId="occhiello">
    <w:name w:val="occhiello"/>
    <w:basedOn w:val="Carpredefinitoparagrafo"/>
  </w:style>
  <w:style w:type="character" w:customStyle="1" w:styleId="titolo10">
    <w:name w:val="titolo1"/>
    <w:basedOn w:val="Carpredefinitoparagrafo"/>
  </w:style>
  <w:style w:type="character" w:customStyle="1" w:styleId="sommario">
    <w:name w:val="sommario"/>
    <w:basedOn w:val="Carpredefinitoparagrafo"/>
  </w:style>
  <w:style w:type="character" w:customStyle="1" w:styleId="txt12">
    <w:name w:val="txt12"/>
    <w:basedOn w:val="Carpredefinitoparagrafo"/>
  </w:style>
  <w:style w:type="character" w:customStyle="1" w:styleId="articolotitolo1">
    <w:name w:val="articolotitolo1"/>
    <w:basedOn w:val="Carpredefinitoparagrafo"/>
    <w:rPr>
      <w:rFonts w:ascii="Verdana" w:hAnsi="Verdana" w:hint="default"/>
      <w:b/>
      <w:bCs w:val="0"/>
      <w:strike w:val="0"/>
      <w:dstrike w:val="0"/>
      <w:color w:val="000000"/>
      <w:u w:val="none"/>
      <w:effect w:val="none"/>
    </w:rPr>
  </w:style>
  <w:style w:type="character" w:customStyle="1" w:styleId="grame">
    <w:name w:val="grame"/>
    <w:basedOn w:val="Carpredefinitoparagrafo"/>
  </w:style>
  <w:style w:type="character" w:customStyle="1" w:styleId="grigioscuro">
    <w:name w:val="grigioscuro"/>
    <w:basedOn w:val="Carpredefinitoparagrafo"/>
  </w:style>
  <w:style w:type="character" w:customStyle="1" w:styleId="fwb1">
    <w:name w:val="fwb1"/>
    <w:rPr>
      <w:b/>
      <w:bCs w:val="0"/>
    </w:rPr>
  </w:style>
  <w:style w:type="character" w:customStyle="1" w:styleId="usercontent">
    <w:name w:val="usercontent"/>
    <w:basedOn w:val="Carpredefinitoparagrafo"/>
  </w:style>
  <w:style w:type="character" w:customStyle="1" w:styleId="credits">
    <w:name w:val="credits"/>
    <w:basedOn w:val="Carpredefinitoparagrafo"/>
  </w:style>
  <w:style w:type="character" w:customStyle="1" w:styleId="metaauthor">
    <w:name w:val="meta_author"/>
    <w:basedOn w:val="Carpredefinitoparagrafo"/>
  </w:style>
  <w:style w:type="character" w:customStyle="1" w:styleId="uficommentbody">
    <w:name w:val="uficommentbody"/>
    <w:basedOn w:val="Carpredefinitoparagrafo"/>
  </w:style>
  <w:style w:type="table" w:styleId="Grigliatabella">
    <w:name w:val="Table Grid"/>
    <w:basedOn w:val="Tabellanormale"/>
    <w:uiPriority w:val="59"/>
    <w:pPr>
      <w:spacing w:line="276" w:lineRule="auto"/>
      <w:ind w:left="23"/>
      <w:jc w:val="both"/>
    </w:pPr>
    <w:rPr>
      <w:rFonts w:ascii="Times New Roman" w:hAnsi="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rFonts w:ascii="Calibri" w:hAnsi="Calibri"/>
      <w:bCs w:val="0"/>
      <w:iCs w:val="0"/>
      <w:kern w:val="0"/>
      <w:sz w:val="22"/>
      <w:szCs w:val="22"/>
    </w:rPr>
  </w:style>
  <w:style w:type="paragraph" w:styleId="Titolo1">
    <w:name w:val="heading 1"/>
    <w:basedOn w:val="Normale"/>
    <w:link w:val="Titolo1Carattere"/>
    <w:uiPriority w:val="9"/>
    <w:qFormat/>
    <w:pPr>
      <w:keepNext/>
      <w:spacing w:before="240" w:after="60" w:line="240" w:lineRule="auto"/>
      <w:ind w:left="480" w:right="34"/>
      <w:jc w:val="both"/>
      <w:outlineLvl w:val="0"/>
    </w:pPr>
    <w:rPr>
      <w:rFonts w:ascii="Century Gothic" w:hAnsi="Century Gothic" w:cs="Century Gothic"/>
      <w:b/>
      <w:bCs/>
      <w:sz w:val="32"/>
      <w:szCs w:val="32"/>
      <w:lang w:eastAsia="it-IT"/>
    </w:rPr>
  </w:style>
  <w:style w:type="paragraph" w:styleId="Titolo2">
    <w:name w:val="heading 2"/>
    <w:basedOn w:val="Normale"/>
    <w:link w:val="Titolo2Carattere"/>
    <w:semiHidden/>
    <w:unhideWhenUsed/>
    <w:qFormat/>
    <w:pPr>
      <w:keepNext/>
      <w:spacing w:before="240" w:after="60" w:line="240" w:lineRule="auto"/>
      <w:jc w:val="center"/>
      <w:outlineLvl w:val="1"/>
    </w:pPr>
    <w:rPr>
      <w:rFonts w:ascii="Century Gothic" w:hAnsi="Century Gothic" w:cs="Century Gothic"/>
      <w:sz w:val="24"/>
      <w:szCs w:val="24"/>
      <w:lang w:eastAsia="it-IT"/>
    </w:rPr>
  </w:style>
  <w:style w:type="paragraph" w:styleId="Titolo3">
    <w:name w:val="heading 3"/>
    <w:basedOn w:val="Normale"/>
    <w:link w:val="Titolo3Carattere"/>
    <w:uiPriority w:val="9"/>
    <w:semiHidden/>
    <w:unhideWhenUsed/>
    <w:qFormat/>
    <w:pPr>
      <w:keepNext/>
      <w:spacing w:before="240" w:after="60" w:line="240" w:lineRule="auto"/>
      <w:jc w:val="both"/>
      <w:outlineLvl w:val="2"/>
    </w:pPr>
    <w:rPr>
      <w:rFonts w:ascii="Century Gothic" w:hAnsi="Century Gothic" w:cs="Century Gothic"/>
      <w:b/>
      <w:bCs/>
      <w:sz w:val="24"/>
      <w:szCs w:val="24"/>
      <w:lang w:eastAsia="it-IT"/>
    </w:rPr>
  </w:style>
  <w:style w:type="paragraph" w:styleId="Titolo4">
    <w:name w:val="heading 4"/>
    <w:basedOn w:val="Normale"/>
    <w:link w:val="Titolo4Carattere"/>
    <w:uiPriority w:val="9"/>
    <w:semiHidden/>
    <w:unhideWhenUsed/>
    <w:qFormat/>
    <w:pPr>
      <w:keepNext/>
      <w:spacing w:before="240" w:after="60" w:line="240" w:lineRule="auto"/>
      <w:jc w:val="both"/>
      <w:outlineLvl w:val="3"/>
    </w:pPr>
    <w:rPr>
      <w:rFonts w:ascii="Times New Roman" w:hAnsi="Times New Roman"/>
      <w:b/>
      <w:bCs/>
      <w:sz w:val="28"/>
      <w:szCs w:val="28"/>
      <w:lang w:eastAsia="it-IT"/>
    </w:rPr>
  </w:style>
  <w:style w:type="paragraph" w:styleId="Titolo6">
    <w:name w:val="heading 6"/>
    <w:basedOn w:val="Normale"/>
    <w:link w:val="Titolo6Carattere"/>
    <w:uiPriority w:val="9"/>
    <w:semiHidden/>
    <w:unhideWhenUsed/>
    <w:qFormat/>
    <w:pPr>
      <w:spacing w:before="240" w:after="60" w:line="240" w:lineRule="auto"/>
      <w:jc w:val="both"/>
      <w:outlineLvl w:val="5"/>
    </w:pPr>
    <w:rPr>
      <w:rFonts w:ascii="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qFormat/>
    <w:rPr>
      <w:rFonts w:ascii="Century Gothic" w:eastAsia="SimSun" w:hAnsi="Century Gothic" w:hint="default"/>
      <w:i/>
      <w:iCs/>
      <w:strike w:val="0"/>
      <w:dstrike w:val="0"/>
      <w:color w:val="002776"/>
      <w:sz w:val="26"/>
      <w:szCs w:val="28"/>
      <w:u w:val="none"/>
      <w:effect w:val="none"/>
    </w:rPr>
  </w:style>
  <w:style w:type="character" w:styleId="Collegamentovisitato">
    <w:name w:val="FollowedHyperlink"/>
    <w:basedOn w:val="Carpredefinitoparagrafo"/>
    <w:uiPriority w:val="99"/>
    <w:semiHidden/>
    <w:unhideWhenUsed/>
    <w:qFormat/>
    <w:rPr>
      <w:rFonts w:ascii="Century Gothic" w:hAnsi="Century Gothic" w:hint="default"/>
      <w:strike w:val="0"/>
      <w:dstrike w:val="0"/>
      <w:color w:val="7030A0"/>
      <w:u w:val="none"/>
      <w:effect w:val="none"/>
    </w:rPr>
  </w:style>
  <w:style w:type="character" w:customStyle="1" w:styleId="Titolo1Carattere">
    <w:name w:val="Titolo 1 Carattere"/>
    <w:basedOn w:val="Carpredefinitoparagrafo"/>
    <w:link w:val="Titolo1"/>
    <w:uiPriority w:val="9"/>
    <w:locked/>
    <w:rPr>
      <w:rFonts w:ascii="Trebuchet MS" w:eastAsiaTheme="minorEastAsia" w:hAnsi="Trebuchet MS" w:cs="Century Gothic" w:hint="default"/>
      <w:b/>
      <w:bCs w:val="0"/>
      <w:kern w:val="36"/>
      <w:sz w:val="32"/>
      <w:szCs w:val="32"/>
      <w:lang w:eastAsia="it-IT"/>
    </w:rPr>
  </w:style>
  <w:style w:type="character" w:customStyle="1" w:styleId="Titolo2Carattere">
    <w:name w:val="Titolo 2 Carattere"/>
    <w:basedOn w:val="Carpredefinitoparagrafo"/>
    <w:link w:val="Titolo2"/>
    <w:semiHidden/>
    <w:locked/>
    <w:rPr>
      <w:rFonts w:ascii="Trebuchet MS" w:eastAsiaTheme="minorEastAsia" w:hAnsi="Trebuchet MS" w:cs="Century Gothic" w:hint="default"/>
      <w:color w:val="008000"/>
      <w:sz w:val="16"/>
      <w:szCs w:val="16"/>
      <w:lang w:eastAsia="it-IT"/>
    </w:rPr>
  </w:style>
  <w:style w:type="character" w:customStyle="1" w:styleId="Titolo3Carattere">
    <w:name w:val="Titolo 3 Carattere"/>
    <w:basedOn w:val="Carpredefinitoparagrafo"/>
    <w:link w:val="Titolo3"/>
    <w:uiPriority w:val="9"/>
    <w:semiHidden/>
    <w:locked/>
    <w:rPr>
      <w:rFonts w:ascii="Trebuchet MS" w:eastAsiaTheme="minorEastAsia" w:hAnsi="Trebuchet MS" w:cs="Century Gothic" w:hint="default"/>
      <w:b/>
      <w:bCs w:val="0"/>
      <w:color w:val="008000"/>
      <w:sz w:val="22"/>
      <w:szCs w:val="22"/>
      <w:lang w:eastAsia="it-IT"/>
    </w:rPr>
  </w:style>
  <w:style w:type="character" w:customStyle="1" w:styleId="Titolo4Carattere">
    <w:name w:val="Titolo 4 Carattere"/>
    <w:basedOn w:val="Carpredefinitoparagrafo"/>
    <w:link w:val="Titolo4"/>
    <w:uiPriority w:val="9"/>
    <w:semiHidden/>
    <w:locked/>
    <w:rPr>
      <w:rFonts w:ascii="Times New Roman" w:eastAsiaTheme="minorEastAsia" w:hAnsi="Times New Roman" w:cs="Times New Roman" w:hint="default"/>
      <w:b/>
      <w:bCs w:val="0"/>
      <w:sz w:val="28"/>
      <w:szCs w:val="28"/>
      <w:lang w:eastAsia="it-IT"/>
    </w:rPr>
  </w:style>
  <w:style w:type="character" w:customStyle="1" w:styleId="Titolo6Carattere">
    <w:name w:val="Titolo 6 Carattere"/>
    <w:basedOn w:val="Carpredefinitoparagrafo"/>
    <w:link w:val="Titolo6"/>
    <w:uiPriority w:val="9"/>
    <w:semiHidden/>
    <w:locked/>
    <w:rPr>
      <w:rFonts w:ascii="Times New Roman" w:eastAsiaTheme="minorEastAsia" w:hAnsi="Times New Roman" w:cs="Times New Roman" w:hint="default"/>
      <w:b/>
      <w:bCs w:val="0"/>
      <w:color w:val="008000"/>
      <w:sz w:val="22"/>
      <w:szCs w:val="22"/>
      <w:lang w:eastAsia="it-IT"/>
    </w:rPr>
  </w:style>
  <w:style w:type="paragraph" w:styleId="NormaleWeb">
    <w:name w:val="Normal (Web)"/>
    <w:basedOn w:val="Normale"/>
    <w:uiPriority w:val="99"/>
    <w:semiHidden/>
    <w:unhideWhenUsed/>
    <w:qFormat/>
    <w:pPr>
      <w:spacing w:before="100" w:beforeAutospacing="1" w:after="100" w:afterAutospacing="1" w:line="240" w:lineRule="auto"/>
      <w:jc w:val="both"/>
    </w:pPr>
    <w:rPr>
      <w:rFonts w:ascii="Century Gothic" w:eastAsia="Times New Roman" w:hAnsi="Century Gothic" w:cs="Century Gothic"/>
      <w:bCs/>
      <w:iCs/>
      <w:kern w:val="36"/>
      <w:sz w:val="24"/>
      <w:szCs w:val="24"/>
      <w:lang w:eastAsia="it-IT"/>
    </w:rPr>
  </w:style>
  <w:style w:type="paragraph" w:styleId="Sommario1">
    <w:name w:val="toc 1"/>
    <w:basedOn w:val="Normale"/>
    <w:autoRedefine/>
    <w:uiPriority w:val="39"/>
    <w:semiHidden/>
    <w:unhideWhenUsed/>
    <w:pPr>
      <w:spacing w:after="0" w:line="240" w:lineRule="auto"/>
      <w:ind w:right="-2"/>
      <w:jc w:val="both"/>
    </w:pPr>
    <w:rPr>
      <w:rFonts w:ascii="Century Gothic" w:hAnsi="Century Gothic"/>
      <w:sz w:val="24"/>
      <w:szCs w:val="24"/>
      <w:lang w:eastAsia="it-IT"/>
    </w:rPr>
  </w:style>
  <w:style w:type="paragraph" w:styleId="Sommario3">
    <w:name w:val="toc 3"/>
    <w:basedOn w:val="Normale"/>
    <w:autoRedefine/>
    <w:uiPriority w:val="39"/>
    <w:semiHidden/>
    <w:unhideWhenUsed/>
    <w:pPr>
      <w:spacing w:after="0" w:line="240" w:lineRule="auto"/>
      <w:ind w:left="440"/>
      <w:jc w:val="both"/>
    </w:pPr>
    <w:rPr>
      <w:rFonts w:ascii="Times New Roman" w:hAnsi="Times New Roman"/>
      <w:sz w:val="24"/>
      <w:szCs w:val="24"/>
      <w:lang w:eastAsia="it-IT"/>
    </w:rPr>
  </w:style>
  <w:style w:type="paragraph" w:styleId="Testonotaapidipagina">
    <w:name w:val="footnote text"/>
    <w:basedOn w:val="Normale"/>
    <w:link w:val="TestonotaapidipaginaCarattere"/>
    <w:uiPriority w:val="99"/>
    <w:semiHidden/>
    <w:unhideWhenUsed/>
    <w:pPr>
      <w:spacing w:after="0" w:line="240" w:lineRule="auto"/>
      <w:jc w:val="both"/>
    </w:pPr>
    <w:rPr>
      <w:rFonts w:ascii="Times New Roman" w:hAnsi="Times New Roman"/>
      <w:sz w:val="24"/>
      <w:szCs w:val="24"/>
      <w:lang w:eastAsia="it-IT"/>
    </w:rPr>
  </w:style>
  <w:style w:type="character" w:customStyle="1" w:styleId="TestonotaapidipaginaCarattere">
    <w:name w:val="Testo nota a piè di pagina Carattere"/>
    <w:basedOn w:val="Carpredefinitoparagrafo"/>
    <w:link w:val="Testonotaapidipagina"/>
    <w:uiPriority w:val="99"/>
    <w:semiHidden/>
    <w:locked/>
    <w:rPr>
      <w:rFonts w:ascii="Times New Roman" w:eastAsiaTheme="minorEastAsia" w:hAnsi="Times New Roman" w:cs="Times New Roman" w:hint="default"/>
      <w:sz w:val="16"/>
      <w:szCs w:val="16"/>
      <w:lang w:eastAsia="it-IT"/>
    </w:rPr>
  </w:style>
  <w:style w:type="paragraph" w:styleId="Intestazione">
    <w:name w:val="header"/>
    <w:basedOn w:val="Normale"/>
    <w:link w:val="IntestazioneCarattere"/>
    <w:uiPriority w:val="99"/>
    <w:semiHidden/>
    <w:unhideWhenUsed/>
    <w:pPr>
      <w:spacing w:after="0" w:line="240" w:lineRule="auto"/>
      <w:jc w:val="both"/>
    </w:pPr>
    <w:rPr>
      <w:rFonts w:ascii="Times New Roman" w:hAnsi="Times New Roman"/>
      <w:sz w:val="24"/>
      <w:szCs w:val="24"/>
      <w:lang w:eastAsia="it-IT"/>
    </w:rPr>
  </w:style>
  <w:style w:type="character" w:customStyle="1" w:styleId="IntestazioneCarattere">
    <w:name w:val="Intestazione Carattere"/>
    <w:basedOn w:val="Carpredefinitoparagrafo"/>
    <w:link w:val="Intestazione"/>
    <w:uiPriority w:val="99"/>
    <w:semiHidden/>
    <w:locked/>
    <w:rPr>
      <w:rFonts w:ascii="Times New Roman" w:eastAsiaTheme="minorEastAsia" w:hAnsi="Times New Roman" w:cs="Times New Roman" w:hint="default"/>
      <w:sz w:val="22"/>
      <w:szCs w:val="22"/>
      <w:lang w:eastAsia="it-IT"/>
    </w:rPr>
  </w:style>
  <w:style w:type="paragraph" w:styleId="Pidipagina">
    <w:name w:val="footer"/>
    <w:basedOn w:val="Normale"/>
    <w:link w:val="PidipaginaCarattere"/>
    <w:uiPriority w:val="99"/>
    <w:semiHidden/>
    <w:unhideWhenUsed/>
    <w:pPr>
      <w:spacing w:after="0" w:line="240" w:lineRule="auto"/>
      <w:jc w:val="both"/>
    </w:pPr>
    <w:rPr>
      <w:rFonts w:ascii="Times New Roman" w:hAnsi="Times New Roman"/>
      <w:sz w:val="24"/>
      <w:szCs w:val="24"/>
      <w:lang w:eastAsia="it-IT"/>
    </w:rPr>
  </w:style>
  <w:style w:type="character" w:customStyle="1" w:styleId="PidipaginaCarattere">
    <w:name w:val="Piè di pagina Carattere"/>
    <w:basedOn w:val="Carpredefinitoparagrafo"/>
    <w:link w:val="Pidipagina"/>
    <w:uiPriority w:val="99"/>
    <w:semiHidden/>
    <w:locked/>
    <w:rPr>
      <w:rFonts w:ascii="Times New Roman" w:eastAsiaTheme="minorEastAsia" w:hAnsi="Times New Roman" w:cs="Times New Roman" w:hint="default"/>
      <w:sz w:val="22"/>
      <w:szCs w:val="22"/>
      <w:lang w:eastAsia="it-IT"/>
    </w:rPr>
  </w:style>
  <w:style w:type="paragraph" w:styleId="Titolo">
    <w:name w:val="Title"/>
    <w:basedOn w:val="Normale"/>
    <w:link w:val="TitoloCarattere"/>
    <w:uiPriority w:val="10"/>
    <w:qFormat/>
    <w:pPr>
      <w:spacing w:before="240" w:after="60" w:line="240" w:lineRule="auto"/>
      <w:jc w:val="center"/>
    </w:pPr>
    <w:rPr>
      <w:rFonts w:ascii="Arial" w:hAnsi="Arial" w:cs="Arial"/>
      <w:b/>
      <w:bCs/>
      <w:sz w:val="32"/>
      <w:szCs w:val="32"/>
      <w:lang w:eastAsia="it-IT"/>
    </w:rPr>
  </w:style>
  <w:style w:type="character" w:customStyle="1" w:styleId="TitoloCarattere">
    <w:name w:val="Titolo Carattere"/>
    <w:basedOn w:val="Carpredefinitoparagrafo"/>
    <w:link w:val="Titolo"/>
    <w:uiPriority w:val="10"/>
    <w:locked/>
    <w:rPr>
      <w:rFonts w:ascii="Arial" w:eastAsiaTheme="minorEastAsia" w:hAnsi="Arial" w:cs="Arial" w:hint="default"/>
      <w:b/>
      <w:bCs w:val="0"/>
      <w:color w:val="008000"/>
      <w:sz w:val="32"/>
      <w:szCs w:val="32"/>
      <w:lang w:eastAsia="it-IT"/>
    </w:rPr>
  </w:style>
  <w:style w:type="paragraph" w:styleId="Sottotitolo">
    <w:name w:val="Subtitle"/>
    <w:basedOn w:val="Normale"/>
    <w:next w:val="Normale"/>
    <w:link w:val="SottotitoloCarattere"/>
    <w:uiPriority w:val="11"/>
    <w:qFormat/>
    <w:pPr>
      <w:spacing w:after="0" w:line="240" w:lineRule="auto"/>
      <w:ind w:left="600"/>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locked/>
    <w:rPr>
      <w:rFonts w:asciiTheme="majorHAnsi" w:eastAsiaTheme="majorEastAsia" w:hAnsiTheme="majorHAnsi" w:cstheme="majorBidi" w:hint="default"/>
      <w:i/>
      <w:iCs w:val="0"/>
      <w:color w:val="4F81BD" w:themeColor="accent1"/>
      <w:spacing w:val="15"/>
      <w:sz w:val="24"/>
      <w:szCs w:val="24"/>
      <w:lang w:eastAsia="it-IT"/>
    </w:rPr>
  </w:style>
  <w:style w:type="paragraph" w:styleId="Data">
    <w:name w:val="Date"/>
    <w:basedOn w:val="Normale"/>
    <w:link w:val="DataCarattere"/>
    <w:uiPriority w:val="99"/>
    <w:semiHidden/>
    <w:unhideWhenUsed/>
    <w:pPr>
      <w:spacing w:after="0" w:line="240" w:lineRule="auto"/>
      <w:jc w:val="both"/>
    </w:pPr>
    <w:rPr>
      <w:rFonts w:ascii="Century Gothic" w:hAnsi="Century Gothic"/>
      <w:sz w:val="24"/>
      <w:szCs w:val="24"/>
      <w:lang w:eastAsia="it-IT"/>
    </w:rPr>
  </w:style>
  <w:style w:type="character" w:customStyle="1" w:styleId="DataCarattere">
    <w:name w:val="Data Carattere"/>
    <w:basedOn w:val="Carpredefinitoparagrafo"/>
    <w:link w:val="Data"/>
    <w:uiPriority w:val="99"/>
    <w:semiHidden/>
    <w:locked/>
    <w:rPr>
      <w:rFonts w:ascii="Trebuchet MS" w:eastAsiaTheme="minorEastAsia" w:hAnsi="Trebuchet MS" w:cs="Times New Roman" w:hint="default"/>
      <w:color w:val="008000"/>
      <w:sz w:val="16"/>
      <w:szCs w:val="16"/>
      <w:lang w:eastAsia="it-IT"/>
    </w:rPr>
  </w:style>
  <w:style w:type="paragraph" w:styleId="Testodelblocco">
    <w:name w:val="Block Text"/>
    <w:basedOn w:val="Normale"/>
    <w:uiPriority w:val="99"/>
    <w:semiHidden/>
    <w:unhideWhenUsed/>
    <w:pPr>
      <w:spacing w:after="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pPr>
      <w:spacing w:after="0" w:line="240" w:lineRule="auto"/>
      <w:jc w:val="both"/>
    </w:pPr>
    <w:rPr>
      <w:sz w:val="24"/>
      <w:szCs w:val="21"/>
      <w:lang w:eastAsia="it-IT"/>
    </w:rPr>
  </w:style>
  <w:style w:type="character" w:customStyle="1" w:styleId="TestonormaleCarattere">
    <w:name w:val="Testo normale Carattere"/>
    <w:basedOn w:val="Carpredefinitoparagrafo"/>
    <w:link w:val="Testonormale"/>
    <w:uiPriority w:val="99"/>
    <w:semiHidden/>
    <w:locked/>
    <w:rPr>
      <w:rFonts w:ascii="Calibri" w:hAnsi="Calibri" w:hint="default"/>
      <w:sz w:val="22"/>
      <w:szCs w:val="21"/>
    </w:rPr>
  </w:style>
  <w:style w:type="paragraph" w:styleId="Testofumetto">
    <w:name w:val="Balloon Text"/>
    <w:basedOn w:val="Normale"/>
    <w:link w:val="TestofumettoCarattere"/>
    <w:uiPriority w:val="99"/>
    <w:semiHidden/>
    <w:unhideWhenUsed/>
    <w:pPr>
      <w:spacing w:after="0" w:line="240" w:lineRule="auto"/>
      <w:jc w:val="both"/>
    </w:pPr>
    <w:rPr>
      <w:rFonts w:ascii="Tahoma" w:hAnsi="Tahoma" w:cs="Tahoma"/>
      <w:sz w:val="24"/>
      <w:szCs w:val="24"/>
      <w:lang w:eastAsia="it-IT"/>
    </w:rPr>
  </w:style>
  <w:style w:type="character" w:customStyle="1" w:styleId="TestofumettoCarattere">
    <w:name w:val="Testo fumetto Carattere"/>
    <w:basedOn w:val="Carpredefinitoparagrafo"/>
    <w:link w:val="Testofumetto"/>
    <w:uiPriority w:val="99"/>
    <w:semiHidden/>
    <w:locked/>
    <w:rPr>
      <w:rFonts w:ascii="Tahoma" w:eastAsiaTheme="minorEastAsia" w:hAnsi="Tahoma" w:cs="Tahoma" w:hint="default"/>
      <w:sz w:val="16"/>
      <w:szCs w:val="16"/>
      <w:lang w:eastAsia="it-IT"/>
    </w:rPr>
  </w:style>
  <w:style w:type="paragraph" w:styleId="Nessunaspaziatura">
    <w:name w:val="No Spacing"/>
    <w:basedOn w:val="Normale"/>
    <w:uiPriority w:val="1"/>
    <w:qFormat/>
    <w:pPr>
      <w:spacing w:after="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pPr>
      <w:spacing w:after="0" w:line="240" w:lineRule="auto"/>
      <w:ind w:left="720"/>
      <w:jc w:val="both"/>
    </w:pPr>
    <w:rPr>
      <w:rFonts w:ascii="Century Gothic" w:hAnsi="Century Gothic"/>
      <w:sz w:val="24"/>
      <w:szCs w:val="24"/>
      <w:lang w:eastAsia="it-IT"/>
    </w:rPr>
  </w:style>
  <w:style w:type="character" w:customStyle="1" w:styleId="linkCarattere">
    <w:name w:val="link Carattere"/>
    <w:basedOn w:val="Carpredefinitoparagrafo"/>
    <w:link w:val="link"/>
    <w:uiPriority w:val="99"/>
    <w:locked/>
    <w:rPr>
      <w:rFonts w:ascii="Century Gothic" w:hAnsi="Century Gothic" w:cs="Century Gothic" w:hint="default"/>
    </w:rPr>
  </w:style>
  <w:style w:type="paragraph" w:customStyle="1" w:styleId="link">
    <w:name w:val="link"/>
    <w:basedOn w:val="Normale"/>
    <w:link w:val="linkCarattere"/>
    <w:autoRedefine/>
    <w:uiPriority w:val="99"/>
    <w:pPr>
      <w:tabs>
        <w:tab w:val="left" w:pos="708"/>
      </w:tabs>
      <w:spacing w:before="100" w:beforeAutospacing="1" w:after="100" w:afterAutospacing="1" w:line="240" w:lineRule="auto"/>
      <w:ind w:left="170" w:right="-39"/>
      <w:jc w:val="both"/>
    </w:pPr>
    <w:rPr>
      <w:rFonts w:ascii="Century Gothic" w:hAnsi="Century Gothic" w:cs="Century Gothic"/>
      <w:sz w:val="24"/>
      <w:szCs w:val="24"/>
      <w:lang w:eastAsia="it-IT"/>
    </w:rPr>
  </w:style>
  <w:style w:type="paragraph" w:customStyle="1" w:styleId="msolistparagraphcxspfirst">
    <w:name w:val="msolistparagraphcxspfirst"/>
    <w:basedOn w:val="Normale"/>
    <w:uiPriority w:val="99"/>
    <w:semiHidden/>
    <w:pPr>
      <w:ind w:left="720"/>
    </w:pPr>
  </w:style>
  <w:style w:type="paragraph" w:customStyle="1" w:styleId="msolistparagraphcxspmiddle">
    <w:name w:val="msolistparagraphcxspmiddle"/>
    <w:basedOn w:val="Normale"/>
    <w:uiPriority w:val="99"/>
    <w:semiHidden/>
    <w:pPr>
      <w:ind w:left="720"/>
    </w:pPr>
  </w:style>
  <w:style w:type="paragraph" w:customStyle="1" w:styleId="msolistparagraphcxsplast">
    <w:name w:val="msolistparagraphcxsplast"/>
    <w:basedOn w:val="Normale"/>
    <w:uiPriority w:val="99"/>
    <w:semiHidden/>
    <w:pPr>
      <w:ind w:left="720"/>
    </w:pPr>
  </w:style>
  <w:style w:type="paragraph" w:customStyle="1" w:styleId="Stile1">
    <w:name w:val="Stile1"/>
    <w:basedOn w:val="Normale"/>
    <w:uiPriority w:val="99"/>
    <w:semiHidden/>
    <w:rPr>
      <w:rFonts w:ascii="Garamond" w:hAnsi="Garamond"/>
    </w:rPr>
  </w:style>
  <w:style w:type="paragraph" w:customStyle="1" w:styleId="msonospacing0">
    <w:name w:val="msonospacing"/>
    <w:basedOn w:val="Normale"/>
    <w:uiPriority w:val="1"/>
    <w:semiHidden/>
    <w:qFormat/>
    <w:pPr>
      <w:ind w:left="2160"/>
    </w:pPr>
    <w:rPr>
      <w:color w:val="0F243E"/>
    </w:rPr>
  </w:style>
  <w:style w:type="paragraph" w:customStyle="1" w:styleId="by-line">
    <w:name w:val="by-line"/>
    <w:basedOn w:val="Normale"/>
    <w:uiPriority w:val="99"/>
    <w:semiHidden/>
    <w:pPr>
      <w:spacing w:before="100" w:beforeAutospacing="1" w:after="100" w:afterAutospacing="1"/>
    </w:pPr>
  </w:style>
  <w:style w:type="paragraph" w:customStyle="1" w:styleId="msochpdefault">
    <w:name w:val="msochpdefault"/>
    <w:basedOn w:val="Normale"/>
    <w:uiPriority w:val="99"/>
    <w:semiHidden/>
    <w:pPr>
      <w:spacing w:before="100" w:beforeAutospacing="1" w:after="100" w:afterAutospacing="1"/>
    </w:pPr>
    <w:rPr>
      <w:rFonts w:ascii="Times New Roman" w:hAnsi="Times New Roman"/>
    </w:rPr>
  </w:style>
  <w:style w:type="paragraph" w:customStyle="1" w:styleId="msotocheading0">
    <w:name w:val="msotocheading"/>
    <w:basedOn w:val="Titolo1"/>
    <w:next w:val="Normale"/>
    <w:uiPriority w:val="39"/>
    <w:semiHidden/>
    <w:qFormat/>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pPr>
      <w:spacing w:before="100" w:beforeAutospacing="1" w:after="100" w:afterAutospacing="1"/>
    </w:pPr>
    <w:rPr>
      <w:rFonts w:cs="Century Gothic"/>
    </w:rPr>
  </w:style>
  <w:style w:type="character" w:styleId="Rimandonotaapidipagina">
    <w:name w:val="footnote reference"/>
    <w:basedOn w:val="Carpredefinitoparagrafo"/>
    <w:uiPriority w:val="99"/>
    <w:semiHidden/>
    <w:unhideWhenUsed/>
    <w:rPr>
      <w:vertAlign w:val="superscript"/>
    </w:rPr>
  </w:style>
  <w:style w:type="character" w:customStyle="1" w:styleId="occhiello">
    <w:name w:val="occhiello"/>
    <w:basedOn w:val="Carpredefinitoparagrafo"/>
  </w:style>
  <w:style w:type="character" w:customStyle="1" w:styleId="titolo10">
    <w:name w:val="titolo1"/>
    <w:basedOn w:val="Carpredefinitoparagrafo"/>
  </w:style>
  <w:style w:type="character" w:customStyle="1" w:styleId="sommario">
    <w:name w:val="sommario"/>
    <w:basedOn w:val="Carpredefinitoparagrafo"/>
  </w:style>
  <w:style w:type="character" w:customStyle="1" w:styleId="txt12">
    <w:name w:val="txt12"/>
    <w:basedOn w:val="Carpredefinitoparagrafo"/>
  </w:style>
  <w:style w:type="character" w:customStyle="1" w:styleId="articolotitolo1">
    <w:name w:val="articolotitolo1"/>
    <w:basedOn w:val="Carpredefinitoparagrafo"/>
    <w:rPr>
      <w:rFonts w:ascii="Verdana" w:hAnsi="Verdana" w:hint="default"/>
      <w:b/>
      <w:bCs w:val="0"/>
      <w:strike w:val="0"/>
      <w:dstrike w:val="0"/>
      <w:color w:val="000000"/>
      <w:u w:val="none"/>
      <w:effect w:val="none"/>
    </w:rPr>
  </w:style>
  <w:style w:type="character" w:customStyle="1" w:styleId="grame">
    <w:name w:val="grame"/>
    <w:basedOn w:val="Carpredefinitoparagrafo"/>
  </w:style>
  <w:style w:type="character" w:customStyle="1" w:styleId="grigioscuro">
    <w:name w:val="grigioscuro"/>
    <w:basedOn w:val="Carpredefinitoparagrafo"/>
  </w:style>
  <w:style w:type="character" w:customStyle="1" w:styleId="fwb1">
    <w:name w:val="fwb1"/>
    <w:rPr>
      <w:b/>
      <w:bCs w:val="0"/>
    </w:rPr>
  </w:style>
  <w:style w:type="character" w:customStyle="1" w:styleId="usercontent">
    <w:name w:val="usercontent"/>
    <w:basedOn w:val="Carpredefinitoparagrafo"/>
  </w:style>
  <w:style w:type="character" w:customStyle="1" w:styleId="credits">
    <w:name w:val="credits"/>
    <w:basedOn w:val="Carpredefinitoparagrafo"/>
  </w:style>
  <w:style w:type="character" w:customStyle="1" w:styleId="metaauthor">
    <w:name w:val="meta_author"/>
    <w:basedOn w:val="Carpredefinitoparagrafo"/>
  </w:style>
  <w:style w:type="character" w:customStyle="1" w:styleId="uficommentbody">
    <w:name w:val="uficommentbody"/>
    <w:basedOn w:val="Carpredefinitoparagrafo"/>
  </w:style>
  <w:style w:type="table" w:styleId="Grigliatabella">
    <w:name w:val="Table Grid"/>
    <w:basedOn w:val="Tabellanormale"/>
    <w:uiPriority w:val="59"/>
    <w:pPr>
      <w:spacing w:line="276" w:lineRule="auto"/>
      <w:ind w:left="23"/>
      <w:jc w:val="both"/>
    </w:pPr>
    <w:rPr>
      <w:rFonts w:ascii="Times New Roman" w:hAnsi="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537</Words>
  <Characters>3063</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2013-10-03T13:21:00Z</dcterms:created>
  <dcterms:modified xsi:type="dcterms:W3CDTF">2013-10-03T13:21:00Z</dcterms:modified>
</cp:coreProperties>
</file>