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581" w:rsidRDefault="00510581" w:rsidP="00510581">
      <w:pPr>
        <w:jc w:val="center"/>
      </w:pPr>
      <w:r>
        <w:t>COMUNICATO STAMPA</w:t>
      </w:r>
    </w:p>
    <w:p w:rsidR="00510581" w:rsidRDefault="00510581" w:rsidP="00510581">
      <w:pPr>
        <w:jc w:val="center"/>
      </w:pPr>
    </w:p>
    <w:p w:rsidR="00510581" w:rsidRDefault="00510581" w:rsidP="00510581">
      <w:pPr>
        <w:jc w:val="center"/>
      </w:pPr>
      <w:r>
        <w:t>CRISI: BANCHE IMBOTTITE DI TITOLI DI STATO PER 426 MILIARDI DI EURO + 159,4 MLD (+ 60% DAL 2011), NEGANO IL CREDITO AFFOSSANDO LA RIPRESA ECONOMICA.</w:t>
      </w:r>
    </w:p>
    <w:p w:rsidR="00510581" w:rsidRDefault="00510581" w:rsidP="00510581">
      <w:pPr>
        <w:jc w:val="center"/>
      </w:pPr>
      <w:r>
        <w:t>DA DICEMBRE 2011 (EROGAZIONE PRESTITI BCE LTRO TASSO 1%),A LUGLIO 2013</w:t>
      </w:r>
    </w:p>
    <w:p w:rsidR="00510581" w:rsidRDefault="00510581" w:rsidP="00510581">
      <w:pPr>
        <w:jc w:val="center"/>
      </w:pPr>
      <w:r>
        <w:t xml:space="preserve"> I PRESTITI  EROGATI ALLE IMPRESE DALLE BANCHE, SCESE DI 62 MILIARDI D EURO.</w:t>
      </w:r>
    </w:p>
    <w:p w:rsidR="00510581" w:rsidRDefault="00510581" w:rsidP="00510581">
      <w:pPr>
        <w:jc w:val="center"/>
      </w:pPr>
    </w:p>
    <w:p w:rsidR="00510581" w:rsidRDefault="00510581" w:rsidP="00510581">
      <w:r>
        <w:t xml:space="preserve">   Tra il dicembre 2011 e fine febbraio 2012, le banche italiane si sono aggiudicate 267,4 miliardi di euro dalla Bce al tasso dell’1% nelle operazioni LTRO (Long </w:t>
      </w:r>
      <w:proofErr w:type="spellStart"/>
      <w:r>
        <w:t>Term</w:t>
      </w:r>
      <w:proofErr w:type="spellEnd"/>
      <w:r>
        <w:t xml:space="preserve"> </w:t>
      </w:r>
      <w:proofErr w:type="spellStart"/>
      <w:r>
        <w:t>Refinancing</w:t>
      </w:r>
      <w:proofErr w:type="spellEnd"/>
      <w:r>
        <w:t xml:space="preserve"> </w:t>
      </w:r>
      <w:proofErr w:type="spellStart"/>
      <w:r>
        <w:t>Operation</w:t>
      </w:r>
      <w:proofErr w:type="spellEnd"/>
      <w:r>
        <w:t>) sui 1.000 miliardi di euro messe a disposizione da Draghi per le banche europee, ma invece di assecondare la richiesta di credito proveniente dalle piccole e medie imprese e dalle famiglie per far ripartire l’economia e dare impulso al ciclo economico, hanno impiegato quella massa monetaria per acquistare i titoli di Stato.</w:t>
      </w:r>
    </w:p>
    <w:p w:rsidR="00510581" w:rsidRDefault="00510581" w:rsidP="00510581">
      <w:r>
        <w:t xml:space="preserve">      I titoli di Stato detenuti dalle banche italiane, che a dicembre 2011 ammontavano a 265,407 miliardi di euro, con un aumento del 60,6%, passano al 30 giugno 2013 ad un totale di 426,266</w:t>
      </w:r>
      <w:r>
        <w:tab/>
        <w:t xml:space="preserve"> miliardi di euro, su un totale di 882,894                miliardi di euro di titoli di Stato detenuti da Bankitalia (98,293 </w:t>
      </w:r>
      <w:proofErr w:type="spellStart"/>
      <w:r>
        <w:t>mld</w:t>
      </w:r>
      <w:proofErr w:type="spellEnd"/>
      <w:r>
        <w:t xml:space="preserve"> di euro) ed altre istituzioni finanziarie (358,335 miliardi di euro).</w:t>
      </w:r>
    </w:p>
    <w:p w:rsidR="00510581" w:rsidRDefault="00510581" w:rsidP="00510581">
      <w:r>
        <w:t xml:space="preserve">   Nel dicembre 2011, i prestiti erogati dalle banche alle imprese, erano pari a 1.712 miliardi di euro, ma tali impieghi si sono ridotti al luglio 2013 a 1.648 miliardi di euro, con una riduzione secca , che in termini assoluti corrisponde a - 62 miliardi di euro erogati alle piccole e medie imprese ed alle famiglie strozzate e strangolate.</w:t>
      </w:r>
    </w:p>
    <w:p w:rsidR="00510581" w:rsidRDefault="00510581" w:rsidP="00510581">
      <w:r>
        <w:t xml:space="preserve">  Se banche e banchieri, con il concorso del distratto controllore, invece di erogare miliardi di euro privi di garanzie reali ai loro amici e compari, come </w:t>
      </w:r>
      <w:proofErr w:type="spellStart"/>
      <w:r>
        <w:t>Zalesky</w:t>
      </w:r>
      <w:proofErr w:type="spellEnd"/>
      <w:r>
        <w:t xml:space="preserve">, Zunino, Ligresti, non allargano i cordoni del credito valutandone la </w:t>
      </w:r>
      <w:proofErr w:type="spellStart"/>
      <w:r>
        <w:t>meritorietà</w:t>
      </w:r>
      <w:proofErr w:type="spellEnd"/>
      <w:r>
        <w:t xml:space="preserve"> a </w:t>
      </w:r>
      <w:proofErr w:type="spellStart"/>
      <w:r>
        <w:t>famiglie,artigiani</w:t>
      </w:r>
      <w:proofErr w:type="spellEnd"/>
      <w:r>
        <w:t xml:space="preserve"> ed alla piccola e media impresa ossatura dell’economia, strozzati dalle revoche dei fidi, si renderanno responsabili dell’ulteriore sfascio economico e produttivo del Paese. </w:t>
      </w:r>
    </w:p>
    <w:p w:rsidR="00510581" w:rsidRDefault="00510581" w:rsidP="00510581">
      <w:pPr>
        <w:jc w:val="center"/>
      </w:pPr>
    </w:p>
    <w:p w:rsidR="00510581" w:rsidRDefault="00510581" w:rsidP="00510581">
      <w:pPr>
        <w:jc w:val="center"/>
      </w:pPr>
      <w:r>
        <w:t xml:space="preserve">Titoli di stato detenuti da Bankitalia, Banche, Finanziarie </w:t>
      </w:r>
    </w:p>
    <w:p w:rsidR="00510581" w:rsidRDefault="00510581" w:rsidP="00510581">
      <w:pPr>
        <w:jc w:val="center"/>
      </w:pPr>
      <w:r>
        <w:t xml:space="preserve"> (Fonte boll.no </w:t>
      </w:r>
      <w:proofErr w:type="spellStart"/>
      <w:r>
        <w:t>stat</w:t>
      </w:r>
      <w:proofErr w:type="spellEnd"/>
      <w:r>
        <w:t>. Finanza pubblica 13-9-2013)</w:t>
      </w:r>
    </w:p>
    <w:tbl>
      <w:tblPr>
        <w:tblStyle w:val="Grigliatabella"/>
        <w:tblpPr w:leftFromText="141" w:rightFromText="141" w:vertAnchor="text" w:horzAnchor="margin" w:tblpY="117"/>
        <w:tblW w:w="9951" w:type="dxa"/>
        <w:tblLook w:val="04A0" w:firstRow="1" w:lastRow="0" w:firstColumn="1" w:lastColumn="0" w:noHBand="0" w:noVBand="1"/>
      </w:tblPr>
      <w:tblGrid>
        <w:gridCol w:w="2376"/>
        <w:gridCol w:w="1701"/>
        <w:gridCol w:w="2127"/>
        <w:gridCol w:w="2268"/>
        <w:gridCol w:w="1479"/>
      </w:tblGrid>
      <w:tr w:rsidR="00510581" w:rsidTr="0051058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581" w:rsidRDefault="00510581">
            <w:pPr>
              <w:jc w:val="center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center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Banca d’Italia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center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proofErr w:type="spellStart"/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Ist</w:t>
            </w:r>
            <w:proofErr w:type="spellEnd"/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. Fin. e Monetarie (</w:t>
            </w:r>
            <w:proofErr w:type="spellStart"/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Ifm</w:t>
            </w:r>
            <w:proofErr w:type="spellEnd"/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center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 xml:space="preserve">Altre  </w:t>
            </w:r>
            <w:proofErr w:type="spellStart"/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ist</w:t>
            </w:r>
            <w:proofErr w:type="spellEnd"/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. finanziarie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center"/>
              <w:rPr>
                <w:rFonts w:ascii="Century Gothic" w:hAnsi="Century Gothic"/>
                <w:b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/>
                <w:iCs/>
                <w:kern w:val="36"/>
                <w:sz w:val="20"/>
              </w:rPr>
              <w:t>Totale</w:t>
            </w:r>
          </w:p>
        </w:tc>
      </w:tr>
      <w:tr w:rsidR="00510581" w:rsidTr="0051058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581" w:rsidRDefault="00510581">
            <w:pPr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581" w:rsidRDefault="00510581">
            <w:pPr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581" w:rsidRDefault="00510581">
            <w:pPr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581" w:rsidRDefault="00510581">
            <w:pPr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581" w:rsidRDefault="00510581">
            <w:pPr>
              <w:rPr>
                <w:rFonts w:ascii="Century Gothic" w:hAnsi="Century Gothic"/>
                <w:bCs/>
                <w:iCs/>
                <w:kern w:val="36"/>
                <w:sz w:val="20"/>
              </w:rPr>
            </w:pPr>
          </w:p>
        </w:tc>
      </w:tr>
      <w:tr w:rsidR="00510581" w:rsidTr="0051058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proofErr w:type="spellStart"/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Dic</w:t>
            </w:r>
            <w:proofErr w:type="spellEnd"/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. 2011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89.399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265.407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289.296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bCs/>
                <w:iCs/>
                <w:kern w:val="36"/>
                <w:sz w:val="20"/>
              </w:rPr>
              <w:fldChar w:fldCharType="begin"/>
            </w: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instrText xml:space="preserve"> =SUM(LEFT) </w:instrText>
            </w:r>
            <w:r>
              <w:rPr>
                <w:bCs/>
                <w:iCs/>
                <w:kern w:val="36"/>
                <w:sz w:val="20"/>
              </w:rPr>
              <w:fldChar w:fldCharType="separate"/>
            </w:r>
            <w:r>
              <w:rPr>
                <w:rFonts w:ascii="Century Gothic" w:hAnsi="Century Gothic"/>
                <w:bCs/>
                <w:iCs/>
                <w:noProof/>
                <w:kern w:val="36"/>
                <w:sz w:val="20"/>
              </w:rPr>
              <w:t>644.102</w:t>
            </w:r>
            <w:r>
              <w:rPr>
                <w:bCs/>
                <w:iCs/>
                <w:kern w:val="36"/>
                <w:sz w:val="20"/>
              </w:rPr>
              <w:fldChar w:fldCharType="end"/>
            </w:r>
          </w:p>
        </w:tc>
      </w:tr>
      <w:tr w:rsidR="00510581" w:rsidTr="0051058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proofErr w:type="spellStart"/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Dic</w:t>
            </w:r>
            <w:proofErr w:type="spellEnd"/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. 2012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95.588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354.471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345.686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bCs/>
                <w:iCs/>
                <w:kern w:val="36"/>
                <w:sz w:val="20"/>
              </w:rPr>
              <w:fldChar w:fldCharType="begin"/>
            </w: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instrText xml:space="preserve"> =SUM(LEFT) </w:instrText>
            </w:r>
            <w:r>
              <w:rPr>
                <w:bCs/>
                <w:iCs/>
                <w:kern w:val="36"/>
                <w:sz w:val="20"/>
              </w:rPr>
              <w:fldChar w:fldCharType="separate"/>
            </w:r>
            <w:r>
              <w:rPr>
                <w:rFonts w:ascii="Century Gothic" w:hAnsi="Century Gothic"/>
                <w:bCs/>
                <w:iCs/>
                <w:noProof/>
                <w:kern w:val="36"/>
                <w:sz w:val="20"/>
              </w:rPr>
              <w:t>795.745</w:t>
            </w:r>
            <w:r>
              <w:rPr>
                <w:bCs/>
                <w:iCs/>
                <w:kern w:val="36"/>
                <w:sz w:val="20"/>
              </w:rPr>
              <w:fldChar w:fldCharType="end"/>
            </w:r>
          </w:p>
        </w:tc>
      </w:tr>
      <w:tr w:rsidR="00510581" w:rsidTr="0051058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Giugno 2013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98.293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426.266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358.335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r>
              <w:rPr>
                <w:bCs/>
                <w:iCs/>
                <w:kern w:val="36"/>
                <w:sz w:val="20"/>
              </w:rPr>
              <w:fldChar w:fldCharType="begin"/>
            </w:r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instrText xml:space="preserve"> =SUM(LEFT) </w:instrText>
            </w:r>
            <w:r>
              <w:rPr>
                <w:bCs/>
                <w:iCs/>
                <w:kern w:val="36"/>
                <w:sz w:val="20"/>
              </w:rPr>
              <w:fldChar w:fldCharType="separate"/>
            </w:r>
            <w:r>
              <w:rPr>
                <w:rFonts w:ascii="Century Gothic" w:hAnsi="Century Gothic"/>
                <w:bCs/>
                <w:iCs/>
                <w:noProof/>
                <w:kern w:val="36"/>
                <w:sz w:val="20"/>
              </w:rPr>
              <w:t>882.894</w:t>
            </w:r>
            <w:r>
              <w:rPr>
                <w:bCs/>
                <w:iCs/>
                <w:kern w:val="36"/>
                <w:sz w:val="20"/>
              </w:rPr>
              <w:fldChar w:fldCharType="end"/>
            </w:r>
          </w:p>
        </w:tc>
      </w:tr>
      <w:tr w:rsidR="00510581" w:rsidTr="0051058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581" w:rsidRDefault="00510581">
            <w:pPr>
              <w:rPr>
                <w:rFonts w:ascii="Century Gothic" w:hAnsi="Century Gothic"/>
                <w:bCs/>
                <w:iCs/>
                <w:kern w:val="36"/>
                <w:sz w:val="20"/>
              </w:rPr>
            </w:pPr>
            <w:proofErr w:type="spellStart"/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Variaz</w:t>
            </w:r>
            <w:proofErr w:type="spellEnd"/>
            <w:r>
              <w:rPr>
                <w:rFonts w:ascii="Century Gothic" w:hAnsi="Century Gothic"/>
                <w:bCs/>
                <w:iCs/>
                <w:kern w:val="36"/>
                <w:sz w:val="20"/>
              </w:rPr>
              <w:t>.% 12-11 al  6-13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color w:val="000000"/>
                <w:kern w:val="36"/>
                <w:sz w:val="20"/>
                <w:szCs w:val="22"/>
              </w:rPr>
            </w:pPr>
            <w:r>
              <w:rPr>
                <w:rFonts w:ascii="Century Gothic" w:hAnsi="Century Gothic"/>
                <w:bCs/>
                <w:iCs/>
                <w:color w:val="000000"/>
                <w:kern w:val="36"/>
                <w:sz w:val="20"/>
                <w:szCs w:val="22"/>
              </w:rPr>
              <w:t>+9,9 %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color w:val="000000"/>
                <w:kern w:val="36"/>
                <w:sz w:val="20"/>
                <w:szCs w:val="22"/>
              </w:rPr>
            </w:pPr>
            <w:r>
              <w:rPr>
                <w:rFonts w:ascii="Century Gothic" w:hAnsi="Century Gothic"/>
                <w:bCs/>
                <w:iCs/>
                <w:color w:val="000000"/>
                <w:kern w:val="36"/>
                <w:sz w:val="20"/>
                <w:szCs w:val="22"/>
              </w:rPr>
              <w:t>+60,6 %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color w:val="000000"/>
                <w:kern w:val="36"/>
                <w:sz w:val="20"/>
                <w:szCs w:val="22"/>
              </w:rPr>
            </w:pPr>
            <w:r>
              <w:rPr>
                <w:rFonts w:ascii="Century Gothic" w:hAnsi="Century Gothic"/>
                <w:bCs/>
                <w:iCs/>
                <w:color w:val="000000"/>
                <w:kern w:val="36"/>
                <w:sz w:val="20"/>
                <w:szCs w:val="22"/>
              </w:rPr>
              <w:t>+23,9 %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10581" w:rsidRDefault="00510581">
            <w:pPr>
              <w:jc w:val="right"/>
              <w:rPr>
                <w:rFonts w:ascii="Century Gothic" w:hAnsi="Century Gothic"/>
                <w:bCs/>
                <w:iCs/>
                <w:color w:val="000000"/>
                <w:kern w:val="36"/>
                <w:sz w:val="20"/>
                <w:szCs w:val="22"/>
              </w:rPr>
            </w:pPr>
            <w:r>
              <w:rPr>
                <w:rFonts w:ascii="Century Gothic" w:hAnsi="Century Gothic"/>
                <w:bCs/>
                <w:iCs/>
                <w:color w:val="000000"/>
                <w:kern w:val="36"/>
                <w:sz w:val="20"/>
                <w:szCs w:val="22"/>
              </w:rPr>
              <w:t>+37,1 %</w:t>
            </w:r>
          </w:p>
        </w:tc>
      </w:tr>
    </w:tbl>
    <w:p w:rsidR="00510581" w:rsidRDefault="00510581" w:rsidP="00510581"/>
    <w:p w:rsidR="00510581" w:rsidRDefault="00510581" w:rsidP="00510581">
      <w:pPr>
        <w:autoSpaceDE w:val="0"/>
        <w:autoSpaceDN w:val="0"/>
        <w:adjustRightInd w:val="0"/>
        <w:jc w:val="left"/>
        <w:rPr>
          <w:rFonts w:ascii="AGaramondPro-Regular" w:hAnsi="AGaramondPro-Regular" w:cs="AGaramondPro-Regular"/>
          <w:color w:val="000000"/>
          <w:sz w:val="20"/>
          <w:szCs w:val="20"/>
          <w:lang w:eastAsia="en-US"/>
        </w:rPr>
      </w:pPr>
      <w:r>
        <w:rPr>
          <w:rFonts w:ascii="AGaramondPro-Bold" w:hAnsi="AGaramondPro-Bold" w:cs="AGaramondPro-Bold"/>
          <w:b/>
          <w:color w:val="005D86"/>
          <w:sz w:val="20"/>
          <w:szCs w:val="20"/>
          <w:lang w:eastAsia="en-US"/>
        </w:rPr>
        <w:t xml:space="preserve">Istituzioni finanziarie monetarie </w:t>
      </w:r>
      <w:r>
        <w:rPr>
          <w:rFonts w:ascii="AGaramondPro-Regular" w:hAnsi="AGaramondPro-Regular" w:cs="AGaramondPro-Regular"/>
          <w:color w:val="000000"/>
          <w:sz w:val="20"/>
          <w:szCs w:val="20"/>
          <w:lang w:eastAsia="en-US"/>
        </w:rPr>
        <w:t>(IFM)</w:t>
      </w:r>
    </w:p>
    <w:p w:rsidR="00510581" w:rsidRDefault="00510581" w:rsidP="00510581">
      <w:pPr>
        <w:autoSpaceDE w:val="0"/>
        <w:autoSpaceDN w:val="0"/>
        <w:adjustRightInd w:val="0"/>
        <w:jc w:val="left"/>
        <w:rPr>
          <w:rFonts w:ascii="AGaramondPro-Regular" w:hAnsi="AGaramondPro-Regular" w:cs="AGaramondPro-Regular"/>
          <w:color w:val="000000"/>
          <w:sz w:val="20"/>
          <w:szCs w:val="20"/>
          <w:lang w:eastAsia="en-US"/>
        </w:rPr>
      </w:pPr>
      <w:r>
        <w:rPr>
          <w:rFonts w:ascii="AGaramondPro-Regular" w:hAnsi="AGaramondPro-Regular" w:cs="AGaramondPro-Regular"/>
          <w:color w:val="000000"/>
          <w:sz w:val="20"/>
          <w:szCs w:val="20"/>
          <w:lang w:eastAsia="en-US"/>
        </w:rPr>
        <w:t>Includono, oltre alle banche centrali, le banche, i fondi comuni monetari e le altre istituzioni finanziarie monetarie  residenti, la cui attività consiste nel ricevere depositi e/o strumenti altamente sostituibili ai depositi da enti diversi dalle IFM e nel concedere crediti e/o effettuare investimenti in titoli per proprio conto. Le IFM comprendono anche gli istituti di moneta elettronica (</w:t>
      </w:r>
      <w:proofErr w:type="spellStart"/>
      <w:r>
        <w:rPr>
          <w:rFonts w:ascii="AGaramondPro-Regular" w:hAnsi="AGaramondPro-Regular" w:cs="AGaramondPro-Regular"/>
          <w:color w:val="000000"/>
          <w:sz w:val="20"/>
          <w:szCs w:val="20"/>
          <w:lang w:eastAsia="en-US"/>
        </w:rPr>
        <w:t>Imel</w:t>
      </w:r>
      <w:proofErr w:type="spellEnd"/>
      <w:r>
        <w:rPr>
          <w:rFonts w:ascii="AGaramondPro-Regular" w:hAnsi="AGaramondPro-Regular" w:cs="AGaramondPro-Regular"/>
          <w:color w:val="000000"/>
          <w:sz w:val="20"/>
          <w:szCs w:val="20"/>
          <w:lang w:eastAsia="en-US"/>
        </w:rPr>
        <w:t>) e dal settembre 2006 la Cassa depositi e prestiti spa (CDP).</w:t>
      </w:r>
    </w:p>
    <w:p w:rsidR="00510581" w:rsidRDefault="00510581" w:rsidP="00510581">
      <w:pPr>
        <w:autoSpaceDE w:val="0"/>
        <w:autoSpaceDN w:val="0"/>
        <w:adjustRightInd w:val="0"/>
        <w:jc w:val="left"/>
        <w:rPr>
          <w:rFonts w:ascii="AGaramondPro-Regular" w:hAnsi="AGaramondPro-Regular" w:cs="AGaramondPro-Regular"/>
          <w:color w:val="000000"/>
          <w:sz w:val="20"/>
          <w:szCs w:val="20"/>
          <w:lang w:eastAsia="en-US"/>
        </w:rPr>
      </w:pPr>
    </w:p>
    <w:p w:rsidR="00510581" w:rsidRDefault="00510581" w:rsidP="00510581">
      <w:pPr>
        <w:autoSpaceDE w:val="0"/>
        <w:autoSpaceDN w:val="0"/>
        <w:adjustRightInd w:val="0"/>
        <w:jc w:val="left"/>
      </w:pPr>
      <w:r>
        <w:t xml:space="preserve">                                         Elio Lannutti (Adusbef)- Rosario </w:t>
      </w:r>
      <w:proofErr w:type="spellStart"/>
      <w:r>
        <w:t>Trefiletti</w:t>
      </w:r>
      <w:proofErr w:type="spellEnd"/>
      <w:r>
        <w:t xml:space="preserve"> (Federconsumatori)</w:t>
      </w:r>
    </w:p>
    <w:p w:rsidR="00510581" w:rsidRDefault="00510581" w:rsidP="00510581">
      <w:pPr>
        <w:autoSpaceDE w:val="0"/>
        <w:autoSpaceDN w:val="0"/>
        <w:adjustRightInd w:val="0"/>
        <w:jc w:val="left"/>
      </w:pPr>
      <w:r>
        <w:t>Roma,1 ottobre 2013</w:t>
      </w:r>
    </w:p>
    <w:p w:rsidR="00C200C3" w:rsidRDefault="00C200C3">
      <w:bookmarkStart w:id="0" w:name="_GoBack"/>
      <w:bookmarkEnd w:id="0"/>
    </w:p>
    <w:sectPr w:rsidR="00C20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581"/>
    <w:rsid w:val="00130235"/>
    <w:rsid w:val="001A3C40"/>
    <w:rsid w:val="002E4C34"/>
    <w:rsid w:val="00370059"/>
    <w:rsid w:val="00424BEE"/>
    <w:rsid w:val="004F322C"/>
    <w:rsid w:val="00510581"/>
    <w:rsid w:val="005F3BF0"/>
    <w:rsid w:val="00632BCB"/>
    <w:rsid w:val="007339EC"/>
    <w:rsid w:val="00754201"/>
    <w:rsid w:val="00873879"/>
    <w:rsid w:val="0094402A"/>
    <w:rsid w:val="009B4EA1"/>
    <w:rsid w:val="00A42182"/>
    <w:rsid w:val="00B35AE5"/>
    <w:rsid w:val="00B90F78"/>
    <w:rsid w:val="00C200C3"/>
    <w:rsid w:val="00C55771"/>
    <w:rsid w:val="00C76E16"/>
    <w:rsid w:val="00D07FAE"/>
    <w:rsid w:val="00D136AC"/>
    <w:rsid w:val="00D709E1"/>
    <w:rsid w:val="00DB5BBF"/>
    <w:rsid w:val="00E612F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0581"/>
    <w:pPr>
      <w:spacing w:line="240" w:lineRule="auto"/>
      <w:ind w:left="0" w:right="0"/>
    </w:pPr>
    <w:rPr>
      <w:bCs w:val="0"/>
      <w:iCs w:val="0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10581"/>
    <w:pPr>
      <w:spacing w:line="240" w:lineRule="auto"/>
      <w:ind w:left="0" w:right="0"/>
    </w:pPr>
    <w:rPr>
      <w:bCs w:val="0"/>
      <w:iCs w:val="0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2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2013-10-01T13:11:00Z</dcterms:created>
  <dcterms:modified xsi:type="dcterms:W3CDTF">2013-10-01T13:12:00Z</dcterms:modified>
</cp:coreProperties>
</file>