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8DB" w:rsidRDefault="001D48DB" w:rsidP="001D48DB">
      <w:pPr>
        <w:pStyle w:val="Nessunaspaziatura"/>
        <w:ind w:left="0"/>
        <w:jc w:val="center"/>
      </w:pPr>
      <w:r>
        <w:t>COMUNICATO STAMPA</w:t>
      </w:r>
    </w:p>
    <w:p w:rsidR="001D48DB" w:rsidRDefault="001D48DB" w:rsidP="001D48DB">
      <w:pPr>
        <w:pStyle w:val="Nessunaspaziatura"/>
        <w:ind w:left="0"/>
        <w:jc w:val="center"/>
      </w:pPr>
    </w:p>
    <w:p w:rsidR="001D48DB" w:rsidRDefault="001D48DB" w:rsidP="001D48DB">
      <w:pPr>
        <w:pStyle w:val="Nessunaspaziatura"/>
        <w:ind w:left="0"/>
        <w:jc w:val="center"/>
      </w:pPr>
      <w:r>
        <w:t xml:space="preserve">CRACK </w:t>
      </w:r>
      <w:bookmarkStart w:id="0" w:name="_GoBack"/>
      <w:r>
        <w:t>MPS: NELL’UDIENZA DEL 26 SETTEMBRE A SIENA CONTRO EX VERTICI MPS,ADUSBEF PARTE CIVILE.</w:t>
      </w:r>
    </w:p>
    <w:p w:rsidR="001D48DB" w:rsidRDefault="001D48DB" w:rsidP="001D48DB">
      <w:pPr>
        <w:pStyle w:val="Nessunaspaziatura"/>
        <w:ind w:left="0"/>
        <w:jc w:val="center"/>
      </w:pPr>
      <w:r>
        <w:t xml:space="preserve">INTANTO PROFUMO E VIOLA, “RISANATORI” PROPRIE AMBIZIONI,NON PAGANO GLI INTERESSI SU BOND. </w:t>
      </w:r>
    </w:p>
    <w:bookmarkEnd w:id="0"/>
    <w:p w:rsidR="001D48DB" w:rsidRDefault="001D48DB" w:rsidP="001D48DB">
      <w:pPr>
        <w:pStyle w:val="Nessunaspaziatura"/>
        <w:ind w:left="0"/>
      </w:pPr>
    </w:p>
    <w:p w:rsidR="001D48DB" w:rsidRDefault="001D48DB" w:rsidP="001D48DB">
      <w:pPr>
        <w:pStyle w:val="Nessunaspaziatura"/>
        <w:ind w:left="0"/>
      </w:pPr>
      <w:r>
        <w:t xml:space="preserve"> Il 20 settembre 2013, alle ore 20,05, sul sito ufficiale del </w:t>
      </w:r>
      <w:proofErr w:type="spellStart"/>
      <w:r>
        <w:t>Mps</w:t>
      </w:r>
      <w:proofErr w:type="spellEnd"/>
      <w:r>
        <w:t>, è apparso un comunicato ufficiale, ignorato dalla grande stampa filo-bancaria: il MPS non paga gli interessi, su tre bond. Come faranno Profumo e Viola, risanatori delle proprie ambizioni, a raccogliere 2 miliardi di euro di capitali freschi, se non riescono a pagare pochi spiccioli di cedole agli investitori ?</w:t>
      </w:r>
    </w:p>
    <w:p w:rsidR="001D48DB" w:rsidRDefault="001D48DB" w:rsidP="001D48DB">
      <w:pPr>
        <w:pStyle w:val="Nessunaspaziatura"/>
        <w:ind w:left="0"/>
        <w:rPr>
          <w:b/>
          <w:bCs/>
        </w:rPr>
      </w:pPr>
      <w:r>
        <w:rPr>
          <w:rFonts w:ascii="Trebuchet MS" w:hAnsi="Trebuchet MS"/>
          <w:color w:val="828282"/>
          <w:sz w:val="17"/>
          <w:szCs w:val="17"/>
        </w:rPr>
        <w:t xml:space="preserve">“ </w:t>
      </w:r>
      <w:r>
        <w:rPr>
          <w:rFonts w:ascii="Trebuchet MS" w:hAnsi="Trebuchet MS"/>
          <w:b/>
          <w:bCs/>
          <w:color w:val="828282"/>
          <w:sz w:val="17"/>
          <w:szCs w:val="17"/>
        </w:rPr>
        <w:t xml:space="preserve">MPS Capital Trust II, </w:t>
      </w:r>
      <w:proofErr w:type="spellStart"/>
      <w:r>
        <w:rPr>
          <w:rFonts w:ascii="Trebuchet MS" w:hAnsi="Trebuchet MS"/>
          <w:b/>
          <w:bCs/>
          <w:color w:val="828282"/>
          <w:sz w:val="17"/>
          <w:szCs w:val="17"/>
        </w:rPr>
        <w:t>Noncumulative</w:t>
      </w:r>
      <w:proofErr w:type="spellEnd"/>
      <w:r>
        <w:rPr>
          <w:rFonts w:ascii="Trebuchet MS" w:hAnsi="Trebuchet MS"/>
          <w:b/>
          <w:bCs/>
          <w:color w:val="828282"/>
          <w:sz w:val="17"/>
          <w:szCs w:val="17"/>
        </w:rPr>
        <w:t xml:space="preserve"> </w:t>
      </w:r>
      <w:proofErr w:type="spellStart"/>
      <w:r>
        <w:rPr>
          <w:rFonts w:ascii="Trebuchet MS" w:hAnsi="Trebuchet MS"/>
          <w:b/>
          <w:bCs/>
          <w:color w:val="828282"/>
          <w:sz w:val="17"/>
          <w:szCs w:val="17"/>
        </w:rPr>
        <w:t>Floating</w:t>
      </w:r>
      <w:proofErr w:type="spellEnd"/>
      <w:r>
        <w:rPr>
          <w:rFonts w:ascii="Trebuchet MS" w:hAnsi="Trebuchet MS"/>
          <w:b/>
          <w:bCs/>
          <w:color w:val="828282"/>
          <w:sz w:val="17"/>
          <w:szCs w:val="17"/>
        </w:rPr>
        <w:t xml:space="preserve"> Rate </w:t>
      </w:r>
      <w:proofErr w:type="spellStart"/>
      <w:r>
        <w:rPr>
          <w:rFonts w:ascii="Trebuchet MS" w:hAnsi="Trebuchet MS"/>
          <w:b/>
          <w:bCs/>
          <w:color w:val="828282"/>
          <w:sz w:val="17"/>
          <w:szCs w:val="17"/>
        </w:rPr>
        <w:t>Guaranteed</w:t>
      </w:r>
      <w:proofErr w:type="spellEnd"/>
      <w:r>
        <w:rPr>
          <w:rFonts w:ascii="Trebuchet MS" w:hAnsi="Trebuchet MS"/>
          <w:b/>
          <w:bCs/>
          <w:color w:val="828282"/>
          <w:sz w:val="17"/>
          <w:szCs w:val="17"/>
        </w:rPr>
        <w:t xml:space="preserve"> </w:t>
      </w:r>
      <w:proofErr w:type="spellStart"/>
      <w:r>
        <w:rPr>
          <w:rFonts w:ascii="Trebuchet MS" w:hAnsi="Trebuchet MS"/>
          <w:b/>
          <w:bCs/>
          <w:color w:val="828282"/>
          <w:sz w:val="17"/>
          <w:szCs w:val="17"/>
        </w:rPr>
        <w:t>Convertible</w:t>
      </w:r>
      <w:proofErr w:type="spellEnd"/>
      <w:r>
        <w:rPr>
          <w:rFonts w:ascii="Trebuchet MS" w:hAnsi="Trebuchet MS"/>
          <w:b/>
          <w:bCs/>
          <w:color w:val="828282"/>
          <w:sz w:val="17"/>
          <w:szCs w:val="17"/>
        </w:rPr>
        <w:t xml:space="preserve"> FRESH </w:t>
      </w:r>
      <w:proofErr w:type="spellStart"/>
      <w:r>
        <w:rPr>
          <w:rFonts w:ascii="Trebuchet MS" w:hAnsi="Trebuchet MS"/>
          <w:b/>
          <w:bCs/>
          <w:color w:val="828282"/>
          <w:sz w:val="17"/>
          <w:szCs w:val="17"/>
        </w:rPr>
        <w:t>Preferred</w:t>
      </w:r>
      <w:proofErr w:type="spellEnd"/>
      <w:r>
        <w:rPr>
          <w:rFonts w:ascii="Trebuchet MS" w:hAnsi="Trebuchet MS"/>
          <w:b/>
          <w:bCs/>
          <w:color w:val="828282"/>
          <w:sz w:val="17"/>
          <w:szCs w:val="17"/>
        </w:rPr>
        <w:t xml:space="preserve"> Securities, (</w:t>
      </w:r>
      <w:proofErr w:type="spellStart"/>
      <w:r>
        <w:rPr>
          <w:rFonts w:ascii="Trebuchet MS" w:hAnsi="Trebuchet MS"/>
          <w:b/>
          <w:bCs/>
          <w:color w:val="828282"/>
          <w:sz w:val="17"/>
          <w:szCs w:val="17"/>
        </w:rPr>
        <w:t>Liquidation</w:t>
      </w:r>
      <w:proofErr w:type="spellEnd"/>
      <w:r>
        <w:rPr>
          <w:rFonts w:ascii="Trebuchet MS" w:hAnsi="Trebuchet MS"/>
          <w:b/>
          <w:bCs/>
          <w:color w:val="828282"/>
          <w:sz w:val="17"/>
          <w:szCs w:val="17"/>
        </w:rPr>
        <w:t xml:space="preserve"> </w:t>
      </w:r>
      <w:proofErr w:type="spellStart"/>
      <w:r>
        <w:rPr>
          <w:rFonts w:ascii="Trebuchet MS" w:hAnsi="Trebuchet MS"/>
          <w:b/>
          <w:bCs/>
          <w:color w:val="828282"/>
          <w:sz w:val="17"/>
          <w:szCs w:val="17"/>
        </w:rPr>
        <w:t>Preference</w:t>
      </w:r>
      <w:proofErr w:type="spellEnd"/>
      <w:r>
        <w:rPr>
          <w:rFonts w:ascii="Trebuchet MS" w:hAnsi="Trebuchet MS"/>
          <w:b/>
          <w:bCs/>
          <w:color w:val="828282"/>
          <w:sz w:val="17"/>
          <w:szCs w:val="17"/>
        </w:rPr>
        <w:t xml:space="preserve"> € 3.28 per FRESH </w:t>
      </w:r>
      <w:proofErr w:type="spellStart"/>
      <w:r>
        <w:rPr>
          <w:rFonts w:ascii="Trebuchet MS" w:hAnsi="Trebuchet MS"/>
          <w:b/>
          <w:bCs/>
          <w:color w:val="828282"/>
          <w:sz w:val="17"/>
          <w:szCs w:val="17"/>
        </w:rPr>
        <w:t>Preferred</w:t>
      </w:r>
      <w:proofErr w:type="spellEnd"/>
      <w:r>
        <w:rPr>
          <w:rFonts w:ascii="Trebuchet MS" w:hAnsi="Trebuchet MS"/>
          <w:b/>
          <w:bCs/>
          <w:color w:val="828282"/>
          <w:sz w:val="17"/>
          <w:szCs w:val="17"/>
        </w:rPr>
        <w:t xml:space="preserve"> Security) </w:t>
      </w:r>
      <w:proofErr w:type="spellStart"/>
      <w:r>
        <w:rPr>
          <w:rFonts w:ascii="Trebuchet MS" w:hAnsi="Trebuchet MS"/>
          <w:b/>
          <w:bCs/>
          <w:color w:val="828282"/>
          <w:sz w:val="17"/>
          <w:szCs w:val="17"/>
        </w:rPr>
        <w:t>representing</w:t>
      </w:r>
      <w:proofErr w:type="spellEnd"/>
      <w:r>
        <w:rPr>
          <w:rFonts w:ascii="Trebuchet MS" w:hAnsi="Trebuchet MS"/>
          <w:b/>
          <w:bCs/>
          <w:color w:val="828282"/>
          <w:sz w:val="17"/>
          <w:szCs w:val="17"/>
        </w:rPr>
        <w:t xml:space="preserve"> a </w:t>
      </w:r>
      <w:proofErr w:type="spellStart"/>
      <w:r>
        <w:rPr>
          <w:rFonts w:ascii="Trebuchet MS" w:hAnsi="Trebuchet MS"/>
          <w:b/>
          <w:bCs/>
          <w:color w:val="828282"/>
          <w:sz w:val="17"/>
          <w:szCs w:val="17"/>
        </w:rPr>
        <w:t>corresponding</w:t>
      </w:r>
      <w:proofErr w:type="spellEnd"/>
      <w:r>
        <w:rPr>
          <w:rFonts w:ascii="Trebuchet MS" w:hAnsi="Trebuchet MS"/>
          <w:b/>
          <w:bCs/>
          <w:color w:val="828282"/>
          <w:sz w:val="17"/>
          <w:szCs w:val="17"/>
        </w:rPr>
        <w:t xml:space="preserve"> </w:t>
      </w:r>
      <w:proofErr w:type="spellStart"/>
      <w:r>
        <w:rPr>
          <w:rFonts w:ascii="Trebuchet MS" w:hAnsi="Trebuchet MS"/>
          <w:b/>
          <w:bCs/>
          <w:color w:val="828282"/>
          <w:sz w:val="17"/>
          <w:szCs w:val="17"/>
        </w:rPr>
        <w:t>amount</w:t>
      </w:r>
      <w:proofErr w:type="spellEnd"/>
      <w:r>
        <w:rPr>
          <w:rFonts w:ascii="Trebuchet MS" w:hAnsi="Trebuchet MS"/>
          <w:b/>
          <w:bCs/>
          <w:color w:val="828282"/>
          <w:sz w:val="17"/>
          <w:szCs w:val="17"/>
        </w:rPr>
        <w:t xml:space="preserve"> of </w:t>
      </w:r>
      <w:proofErr w:type="spellStart"/>
      <w:r>
        <w:rPr>
          <w:rFonts w:ascii="Trebuchet MS" w:hAnsi="Trebuchet MS"/>
          <w:b/>
          <w:bCs/>
          <w:color w:val="828282"/>
          <w:sz w:val="17"/>
          <w:szCs w:val="17"/>
        </w:rPr>
        <w:t>Noncumulative</w:t>
      </w:r>
      <w:proofErr w:type="spellEnd"/>
      <w:r>
        <w:rPr>
          <w:rFonts w:ascii="Trebuchet MS" w:hAnsi="Trebuchet MS"/>
          <w:b/>
          <w:bCs/>
          <w:color w:val="828282"/>
          <w:sz w:val="17"/>
          <w:szCs w:val="17"/>
        </w:rPr>
        <w:t xml:space="preserve"> </w:t>
      </w:r>
      <w:proofErr w:type="spellStart"/>
      <w:r>
        <w:rPr>
          <w:rFonts w:ascii="Trebuchet MS" w:hAnsi="Trebuchet MS"/>
          <w:b/>
          <w:bCs/>
          <w:color w:val="828282"/>
          <w:sz w:val="17"/>
          <w:szCs w:val="17"/>
        </w:rPr>
        <w:t>Floating</w:t>
      </w:r>
      <w:proofErr w:type="spellEnd"/>
      <w:r>
        <w:rPr>
          <w:rFonts w:ascii="Trebuchet MS" w:hAnsi="Trebuchet MS"/>
          <w:b/>
          <w:bCs/>
          <w:color w:val="828282"/>
          <w:sz w:val="17"/>
          <w:szCs w:val="17"/>
        </w:rPr>
        <w:t xml:space="preserve"> Rate </w:t>
      </w:r>
      <w:proofErr w:type="spellStart"/>
      <w:r>
        <w:rPr>
          <w:rFonts w:ascii="Trebuchet MS" w:hAnsi="Trebuchet MS"/>
          <w:b/>
          <w:bCs/>
          <w:color w:val="828282"/>
          <w:sz w:val="17"/>
          <w:szCs w:val="17"/>
        </w:rPr>
        <w:t>Guaranteed</w:t>
      </w:r>
      <w:proofErr w:type="spellEnd"/>
      <w:r>
        <w:rPr>
          <w:rFonts w:ascii="Trebuchet MS" w:hAnsi="Trebuchet MS"/>
          <w:b/>
          <w:bCs/>
          <w:color w:val="828282"/>
          <w:sz w:val="17"/>
          <w:szCs w:val="17"/>
        </w:rPr>
        <w:t xml:space="preserve"> </w:t>
      </w:r>
      <w:proofErr w:type="spellStart"/>
      <w:r>
        <w:rPr>
          <w:rFonts w:ascii="Trebuchet MS" w:hAnsi="Trebuchet MS"/>
          <w:b/>
          <w:bCs/>
          <w:color w:val="828282"/>
          <w:sz w:val="17"/>
          <w:szCs w:val="17"/>
        </w:rPr>
        <w:t>Convertible</w:t>
      </w:r>
      <w:proofErr w:type="spellEnd"/>
      <w:r>
        <w:rPr>
          <w:rFonts w:ascii="Trebuchet MS" w:hAnsi="Trebuchet MS"/>
          <w:b/>
          <w:bCs/>
          <w:color w:val="828282"/>
          <w:sz w:val="17"/>
          <w:szCs w:val="17"/>
        </w:rPr>
        <w:t xml:space="preserve"> LLC </w:t>
      </w:r>
      <w:proofErr w:type="spellStart"/>
      <w:r>
        <w:rPr>
          <w:rFonts w:ascii="Trebuchet MS" w:hAnsi="Trebuchet MS"/>
          <w:b/>
          <w:bCs/>
          <w:color w:val="828282"/>
          <w:sz w:val="17"/>
          <w:szCs w:val="17"/>
        </w:rPr>
        <w:t>Preferred</w:t>
      </w:r>
      <w:proofErr w:type="spellEnd"/>
      <w:r>
        <w:rPr>
          <w:rFonts w:ascii="Trebuchet MS" w:hAnsi="Trebuchet MS"/>
          <w:b/>
          <w:bCs/>
          <w:color w:val="828282"/>
          <w:sz w:val="17"/>
          <w:szCs w:val="17"/>
        </w:rPr>
        <w:t xml:space="preserve"> Securities of MPS </w:t>
      </w:r>
      <w:proofErr w:type="spellStart"/>
      <w:r>
        <w:rPr>
          <w:rFonts w:ascii="Trebuchet MS" w:hAnsi="Trebuchet MS"/>
          <w:b/>
          <w:bCs/>
          <w:color w:val="828282"/>
          <w:sz w:val="17"/>
          <w:szCs w:val="17"/>
        </w:rPr>
        <w:t>Preferred</w:t>
      </w:r>
      <w:proofErr w:type="spellEnd"/>
      <w:r>
        <w:rPr>
          <w:rFonts w:ascii="Trebuchet MS" w:hAnsi="Trebuchet MS"/>
          <w:b/>
          <w:bCs/>
          <w:color w:val="828282"/>
          <w:sz w:val="17"/>
          <w:szCs w:val="17"/>
        </w:rPr>
        <w:t xml:space="preserve"> Capital II, LLC (ISIN: XS0180906439);- Antonveneta Capital Trust I, </w:t>
      </w:r>
      <w:proofErr w:type="spellStart"/>
      <w:r>
        <w:rPr>
          <w:rFonts w:ascii="Trebuchet MS" w:hAnsi="Trebuchet MS"/>
          <w:b/>
          <w:bCs/>
          <w:color w:val="828282"/>
          <w:sz w:val="17"/>
          <w:szCs w:val="17"/>
        </w:rPr>
        <w:t>Noncumulative</w:t>
      </w:r>
      <w:proofErr w:type="spellEnd"/>
      <w:r>
        <w:rPr>
          <w:rFonts w:ascii="Trebuchet MS" w:hAnsi="Trebuchet MS"/>
          <w:b/>
          <w:bCs/>
          <w:color w:val="828282"/>
          <w:sz w:val="17"/>
          <w:szCs w:val="17"/>
        </w:rPr>
        <w:t xml:space="preserve"> </w:t>
      </w:r>
      <w:proofErr w:type="spellStart"/>
      <w:r>
        <w:rPr>
          <w:rFonts w:ascii="Trebuchet MS" w:hAnsi="Trebuchet MS"/>
          <w:b/>
          <w:bCs/>
          <w:color w:val="828282"/>
          <w:sz w:val="17"/>
          <w:szCs w:val="17"/>
        </w:rPr>
        <w:t>Floating</w:t>
      </w:r>
      <w:proofErr w:type="spellEnd"/>
      <w:r>
        <w:rPr>
          <w:rFonts w:ascii="Trebuchet MS" w:hAnsi="Trebuchet MS"/>
          <w:b/>
          <w:bCs/>
          <w:color w:val="828282"/>
          <w:sz w:val="17"/>
          <w:szCs w:val="17"/>
        </w:rPr>
        <w:t xml:space="preserve"> Rate </w:t>
      </w:r>
      <w:proofErr w:type="spellStart"/>
      <w:r>
        <w:rPr>
          <w:rFonts w:ascii="Trebuchet MS" w:hAnsi="Trebuchet MS"/>
          <w:b/>
          <w:bCs/>
          <w:color w:val="828282"/>
          <w:sz w:val="17"/>
          <w:szCs w:val="17"/>
        </w:rPr>
        <w:t>Guaranteed</w:t>
      </w:r>
      <w:proofErr w:type="spellEnd"/>
      <w:r>
        <w:rPr>
          <w:rFonts w:ascii="Trebuchet MS" w:hAnsi="Trebuchet MS"/>
          <w:b/>
          <w:bCs/>
          <w:color w:val="828282"/>
          <w:sz w:val="17"/>
          <w:szCs w:val="17"/>
        </w:rPr>
        <w:t xml:space="preserve"> Trust </w:t>
      </w:r>
      <w:proofErr w:type="spellStart"/>
      <w:r>
        <w:rPr>
          <w:rFonts w:ascii="Trebuchet MS" w:hAnsi="Trebuchet MS"/>
          <w:b/>
          <w:bCs/>
          <w:color w:val="828282"/>
          <w:sz w:val="17"/>
          <w:szCs w:val="17"/>
        </w:rPr>
        <w:t>Preferred</w:t>
      </w:r>
      <w:proofErr w:type="spellEnd"/>
      <w:r>
        <w:rPr>
          <w:rFonts w:ascii="Trebuchet MS" w:hAnsi="Trebuchet MS"/>
          <w:b/>
          <w:bCs/>
          <w:color w:val="828282"/>
          <w:sz w:val="17"/>
          <w:szCs w:val="17"/>
        </w:rPr>
        <w:t xml:space="preserve"> Securities (</w:t>
      </w:r>
      <w:proofErr w:type="spellStart"/>
      <w:r>
        <w:rPr>
          <w:rFonts w:ascii="Trebuchet MS" w:hAnsi="Trebuchet MS"/>
          <w:b/>
          <w:bCs/>
          <w:color w:val="828282"/>
          <w:sz w:val="17"/>
          <w:szCs w:val="17"/>
        </w:rPr>
        <w:t>Liquidation</w:t>
      </w:r>
      <w:proofErr w:type="spellEnd"/>
      <w:r>
        <w:rPr>
          <w:rFonts w:ascii="Trebuchet MS" w:hAnsi="Trebuchet MS"/>
          <w:b/>
          <w:bCs/>
          <w:color w:val="828282"/>
          <w:sz w:val="17"/>
          <w:szCs w:val="17"/>
        </w:rPr>
        <w:t xml:space="preserve"> </w:t>
      </w:r>
      <w:proofErr w:type="spellStart"/>
      <w:r>
        <w:rPr>
          <w:rFonts w:ascii="Trebuchet MS" w:hAnsi="Trebuchet MS"/>
          <w:b/>
          <w:bCs/>
          <w:color w:val="828282"/>
          <w:sz w:val="17"/>
          <w:szCs w:val="17"/>
        </w:rPr>
        <w:t>Preference</w:t>
      </w:r>
      <w:proofErr w:type="spellEnd"/>
      <w:r>
        <w:rPr>
          <w:rFonts w:ascii="Trebuchet MS" w:hAnsi="Trebuchet MS"/>
          <w:b/>
          <w:bCs/>
          <w:color w:val="828282"/>
          <w:sz w:val="17"/>
          <w:szCs w:val="17"/>
        </w:rPr>
        <w:t xml:space="preserve"> €1,000 per Trust </w:t>
      </w:r>
      <w:proofErr w:type="spellStart"/>
      <w:r>
        <w:rPr>
          <w:rFonts w:ascii="Trebuchet MS" w:hAnsi="Trebuchet MS"/>
          <w:b/>
          <w:bCs/>
          <w:color w:val="828282"/>
          <w:sz w:val="17"/>
          <w:szCs w:val="17"/>
        </w:rPr>
        <w:t>Preferred</w:t>
      </w:r>
      <w:proofErr w:type="spellEnd"/>
      <w:r>
        <w:rPr>
          <w:rFonts w:ascii="Trebuchet MS" w:hAnsi="Trebuchet MS"/>
          <w:b/>
          <w:bCs/>
          <w:color w:val="828282"/>
          <w:sz w:val="17"/>
          <w:szCs w:val="17"/>
        </w:rPr>
        <w:t xml:space="preserve"> Security) (ISIN: XS0122238115);- Antonveneta Capital Trust II, </w:t>
      </w:r>
      <w:proofErr w:type="spellStart"/>
      <w:r>
        <w:rPr>
          <w:rFonts w:ascii="Trebuchet MS" w:hAnsi="Trebuchet MS"/>
          <w:b/>
          <w:bCs/>
          <w:color w:val="828282"/>
          <w:sz w:val="17"/>
          <w:szCs w:val="17"/>
        </w:rPr>
        <w:t>Noncumulative</w:t>
      </w:r>
      <w:proofErr w:type="spellEnd"/>
      <w:r>
        <w:rPr>
          <w:rFonts w:ascii="Trebuchet MS" w:hAnsi="Trebuchet MS"/>
          <w:b/>
          <w:bCs/>
          <w:color w:val="828282"/>
          <w:sz w:val="17"/>
          <w:szCs w:val="17"/>
        </w:rPr>
        <w:t xml:space="preserve"> </w:t>
      </w:r>
      <w:proofErr w:type="spellStart"/>
      <w:r>
        <w:rPr>
          <w:rFonts w:ascii="Trebuchet MS" w:hAnsi="Trebuchet MS"/>
          <w:b/>
          <w:bCs/>
          <w:color w:val="828282"/>
          <w:sz w:val="17"/>
          <w:szCs w:val="17"/>
        </w:rPr>
        <w:t>Floating</w:t>
      </w:r>
      <w:proofErr w:type="spellEnd"/>
      <w:r>
        <w:rPr>
          <w:rFonts w:ascii="Trebuchet MS" w:hAnsi="Trebuchet MS"/>
          <w:b/>
          <w:bCs/>
          <w:color w:val="828282"/>
          <w:sz w:val="17"/>
          <w:szCs w:val="17"/>
        </w:rPr>
        <w:t xml:space="preserve"> Rate </w:t>
      </w:r>
      <w:proofErr w:type="spellStart"/>
      <w:r>
        <w:rPr>
          <w:rFonts w:ascii="Trebuchet MS" w:hAnsi="Trebuchet MS"/>
          <w:b/>
          <w:bCs/>
          <w:color w:val="828282"/>
          <w:sz w:val="17"/>
          <w:szCs w:val="17"/>
        </w:rPr>
        <w:t>Guaranteed</w:t>
      </w:r>
      <w:proofErr w:type="spellEnd"/>
      <w:r>
        <w:rPr>
          <w:rFonts w:ascii="Trebuchet MS" w:hAnsi="Trebuchet MS"/>
          <w:b/>
          <w:bCs/>
          <w:color w:val="828282"/>
          <w:sz w:val="17"/>
          <w:szCs w:val="17"/>
        </w:rPr>
        <w:t xml:space="preserve"> Trust </w:t>
      </w:r>
      <w:proofErr w:type="spellStart"/>
      <w:r>
        <w:rPr>
          <w:rFonts w:ascii="Trebuchet MS" w:hAnsi="Trebuchet MS"/>
          <w:b/>
          <w:bCs/>
          <w:color w:val="828282"/>
          <w:sz w:val="17"/>
          <w:szCs w:val="17"/>
        </w:rPr>
        <w:t>Preferred</w:t>
      </w:r>
      <w:proofErr w:type="spellEnd"/>
      <w:r>
        <w:rPr>
          <w:rFonts w:ascii="Trebuchet MS" w:hAnsi="Trebuchet MS"/>
          <w:b/>
          <w:bCs/>
          <w:color w:val="828282"/>
          <w:sz w:val="17"/>
          <w:szCs w:val="17"/>
        </w:rPr>
        <w:t xml:space="preserve"> Securities (</w:t>
      </w:r>
      <w:proofErr w:type="spellStart"/>
      <w:r>
        <w:rPr>
          <w:rFonts w:ascii="Trebuchet MS" w:hAnsi="Trebuchet MS"/>
          <w:b/>
          <w:bCs/>
          <w:color w:val="828282"/>
          <w:sz w:val="17"/>
          <w:szCs w:val="17"/>
        </w:rPr>
        <w:t>Liquidation</w:t>
      </w:r>
      <w:proofErr w:type="spellEnd"/>
      <w:r>
        <w:rPr>
          <w:rFonts w:ascii="Trebuchet MS" w:hAnsi="Trebuchet MS"/>
          <w:b/>
          <w:bCs/>
          <w:color w:val="828282"/>
          <w:sz w:val="17"/>
          <w:szCs w:val="17"/>
        </w:rPr>
        <w:t xml:space="preserve"> </w:t>
      </w:r>
      <w:proofErr w:type="spellStart"/>
      <w:r>
        <w:rPr>
          <w:rFonts w:ascii="Trebuchet MS" w:hAnsi="Trebuchet MS"/>
          <w:b/>
          <w:bCs/>
          <w:color w:val="828282"/>
          <w:sz w:val="17"/>
          <w:szCs w:val="17"/>
        </w:rPr>
        <w:t>Preference</w:t>
      </w:r>
      <w:proofErr w:type="spellEnd"/>
      <w:r>
        <w:rPr>
          <w:rFonts w:ascii="Trebuchet MS" w:hAnsi="Trebuchet MS"/>
          <w:b/>
          <w:bCs/>
          <w:color w:val="828282"/>
          <w:sz w:val="17"/>
          <w:szCs w:val="17"/>
        </w:rPr>
        <w:t xml:space="preserve"> €1,000 per Trust </w:t>
      </w:r>
      <w:proofErr w:type="spellStart"/>
      <w:r>
        <w:rPr>
          <w:rFonts w:ascii="Trebuchet MS" w:hAnsi="Trebuchet MS"/>
          <w:b/>
          <w:bCs/>
          <w:color w:val="828282"/>
          <w:sz w:val="17"/>
          <w:szCs w:val="17"/>
        </w:rPr>
        <w:t>Preferred</w:t>
      </w:r>
      <w:proofErr w:type="spellEnd"/>
      <w:r>
        <w:rPr>
          <w:rFonts w:ascii="Trebuchet MS" w:hAnsi="Trebuchet MS"/>
          <w:b/>
          <w:bCs/>
          <w:color w:val="828282"/>
          <w:sz w:val="17"/>
          <w:szCs w:val="17"/>
        </w:rPr>
        <w:t xml:space="preserve"> Security) (ISIN: XS0131739236)</w:t>
      </w:r>
      <w:r>
        <w:rPr>
          <w:rFonts w:ascii="Trebuchet MS" w:hAnsi="Trebuchet MS"/>
          <w:b/>
          <w:bCs/>
          <w:color w:val="828282"/>
          <w:sz w:val="17"/>
          <w:szCs w:val="17"/>
        </w:rPr>
        <w:br/>
        <w:t xml:space="preserve">l’emittente eserciterà, come già accaduto il 6 febbraio per il titolo denominato “Euro 350,000,000 MPS Capital Trust I 7.990% </w:t>
      </w:r>
      <w:proofErr w:type="spellStart"/>
      <w:r>
        <w:rPr>
          <w:rFonts w:ascii="Trebuchet MS" w:hAnsi="Trebuchet MS"/>
          <w:b/>
          <w:bCs/>
          <w:color w:val="828282"/>
          <w:sz w:val="17"/>
          <w:szCs w:val="17"/>
        </w:rPr>
        <w:t>Noncumulative</w:t>
      </w:r>
      <w:proofErr w:type="spellEnd"/>
      <w:r>
        <w:rPr>
          <w:rFonts w:ascii="Trebuchet MS" w:hAnsi="Trebuchet MS"/>
          <w:b/>
          <w:bCs/>
          <w:color w:val="828282"/>
          <w:sz w:val="17"/>
          <w:szCs w:val="17"/>
        </w:rPr>
        <w:t xml:space="preserve"> Trust </w:t>
      </w:r>
      <w:proofErr w:type="spellStart"/>
      <w:r>
        <w:rPr>
          <w:rFonts w:ascii="Trebuchet MS" w:hAnsi="Trebuchet MS"/>
          <w:b/>
          <w:bCs/>
          <w:color w:val="828282"/>
          <w:sz w:val="17"/>
          <w:szCs w:val="17"/>
        </w:rPr>
        <w:t>Preferred</w:t>
      </w:r>
      <w:proofErr w:type="spellEnd"/>
      <w:r>
        <w:rPr>
          <w:rFonts w:ascii="Trebuchet MS" w:hAnsi="Trebuchet MS"/>
          <w:b/>
          <w:bCs/>
          <w:color w:val="828282"/>
          <w:sz w:val="17"/>
          <w:szCs w:val="17"/>
        </w:rPr>
        <w:t xml:space="preserve"> Securities (ISIN: XS0121342827), la facoltà di non procedere al pagamento degli interessi maturati alle prossime date di pagamento cedolari previste, rispettivamente, a partire dal 30 settembre p.v., 21 settembre p.v. e 27 settembre p.v..  Tale sospensione del pagamento degli interessi è consentita, ricorrendo determinati presupposti, dai rispettivi regolamenti dei summenzionati titoli”. Tratto da </w:t>
      </w:r>
      <w:hyperlink r:id="rId6" w:history="1">
        <w:r>
          <w:rPr>
            <w:rStyle w:val="Collegamentoipertestuale"/>
            <w:rFonts w:ascii="Trebuchet MS" w:hAnsi="Trebuchet MS"/>
            <w:b/>
            <w:bCs/>
            <w:sz w:val="17"/>
            <w:szCs w:val="17"/>
          </w:rPr>
          <w:t>www.mps.it</w:t>
        </w:r>
      </w:hyperlink>
      <w:r>
        <w:rPr>
          <w:rFonts w:ascii="Trebuchet MS" w:hAnsi="Trebuchet MS"/>
          <w:b/>
          <w:bCs/>
          <w:color w:val="828282"/>
          <w:sz w:val="17"/>
          <w:szCs w:val="17"/>
        </w:rPr>
        <w:t xml:space="preserve">. </w:t>
      </w:r>
    </w:p>
    <w:p w:rsidR="001D48DB" w:rsidRDefault="001D48DB" w:rsidP="001D48DB">
      <w:pPr>
        <w:pStyle w:val="Nessunaspaziatura"/>
        <w:ind w:left="0"/>
      </w:pPr>
    </w:p>
    <w:p w:rsidR="001D48DB" w:rsidRDefault="001D48DB" w:rsidP="001D48DB">
      <w:pPr>
        <w:pStyle w:val="Nessunaspaziatura"/>
        <w:ind w:left="0"/>
      </w:pPr>
      <w:r>
        <w:t xml:space="preserve">   Intanto, nel  processo penale n.1528/2013  R.G.N.R. n. 795/2013 R.G.GIP pendente presso il Tribunale di Siena, a carico degli imputati: - Baldassarri Gian Luca – n. a Lugo il 21.08.1961 – elettivamente domiciliato in Roma, Viale G. Cesare n. 6 presso il difensore di fiducia dall’Avv. Filippo </w:t>
      </w:r>
      <w:proofErr w:type="spellStart"/>
      <w:r>
        <w:t>Dinacci</w:t>
      </w:r>
      <w:proofErr w:type="spellEnd"/>
      <w:r>
        <w:t xml:space="preserve"> del foro di Roma; - </w:t>
      </w:r>
      <w:proofErr w:type="spellStart"/>
      <w:r>
        <w:t>Mussari</w:t>
      </w:r>
      <w:proofErr w:type="spellEnd"/>
      <w:r>
        <w:t xml:space="preserve"> Giuseppe – n. a Catanzaro il 20.07.1962 – elettivamente domiciliato in Siena via del Casato di Sopra n. 59 presso lo studio dell’Avv. Fabio </w:t>
      </w:r>
      <w:proofErr w:type="spellStart"/>
      <w:r>
        <w:t>Pisillo</w:t>
      </w:r>
      <w:proofErr w:type="spellEnd"/>
      <w:r>
        <w:t xml:space="preserve"> – Difeso di fiducia dagli Avv.ti Fabio </w:t>
      </w:r>
      <w:proofErr w:type="spellStart"/>
      <w:r>
        <w:t>Pisillo</w:t>
      </w:r>
      <w:proofErr w:type="spellEnd"/>
      <w:r>
        <w:t xml:space="preserve"> del Foro di Siena e Avv. Tullio Padovani del foro di Pisa; - </w:t>
      </w:r>
      <w:proofErr w:type="spellStart"/>
      <w:r>
        <w:t>Vigni</w:t>
      </w:r>
      <w:proofErr w:type="spellEnd"/>
      <w:r>
        <w:t xml:space="preserve"> Antonio – n. a Castelnuovo </w:t>
      </w:r>
      <w:proofErr w:type="spellStart"/>
      <w:r>
        <w:t>Berardegna</w:t>
      </w:r>
      <w:proofErr w:type="spellEnd"/>
      <w:r>
        <w:t xml:space="preserve"> il 15.07.1953 – elettivamente domiciliato in Siena via De’ Rossi n. 44 presso lo studio dell’Avv. Enrico De Martino del foro di Siena e Avv. Franco Coppi del foro di Roma; IMPUTATI, Per i reati  e con espresso riferimento al contenuto di cui al decreto che dispone il Giudizio Immediato emesso dal GUP Dott. Ugo Bellini del Tribunale di Siena del 10 giugno 2013, Adusbef chiederà la costituzione di parte civile per ottenere, previa affermazione della penale responsabilità degli imputati, la loro condanna alla pena ritenuta di giustizia, oltre il risarcimento di tutti i danni direttamente dalla costituita associazione di consumatori, nonché la condanna alla pubblicazione della decisione di merito su una o più testate.</w:t>
      </w:r>
    </w:p>
    <w:p w:rsidR="001D48DB" w:rsidRDefault="001D48DB" w:rsidP="001D48DB">
      <w:pPr>
        <w:pStyle w:val="Nessunaspaziatura"/>
        <w:ind w:left="0"/>
      </w:pPr>
      <w:r>
        <w:t xml:space="preserve">    Sono una quindicina i testimoni chiamati dai </w:t>
      </w:r>
      <w:proofErr w:type="spellStart"/>
      <w:r>
        <w:t>pm</w:t>
      </w:r>
      <w:proofErr w:type="spellEnd"/>
      <w:r>
        <w:t xml:space="preserve"> titolari dell'inchiesta sul Monte dei Paschi al primo processo che si aprirà il 26 settembre al tribunale di Siena. Tra questi c'è </w:t>
      </w:r>
      <w:proofErr w:type="spellStart"/>
      <w:r>
        <w:t>l'ad</w:t>
      </w:r>
      <w:proofErr w:type="spellEnd"/>
      <w:r>
        <w:t xml:space="preserve"> di </w:t>
      </w:r>
      <w:proofErr w:type="spellStart"/>
      <w:r>
        <w:t>Mps</w:t>
      </w:r>
      <w:proofErr w:type="spellEnd"/>
      <w:r>
        <w:t xml:space="preserve"> Fabrizio Viola, poi funzionari di Bankitalia, della </w:t>
      </w:r>
      <w:proofErr w:type="spellStart"/>
      <w:r>
        <w:t>Consob</w:t>
      </w:r>
      <w:proofErr w:type="spellEnd"/>
      <w:r>
        <w:t xml:space="preserve"> e due della banca d'affari JP Morgan. La lista dei testi è già stata presentata anche dai legali dei tre imputati (l'ex presidente Giuseppe </w:t>
      </w:r>
      <w:proofErr w:type="spellStart"/>
      <w:r>
        <w:t>Mussari</w:t>
      </w:r>
      <w:proofErr w:type="spellEnd"/>
      <w:r>
        <w:t xml:space="preserve">, l'ex dg Antonio </w:t>
      </w:r>
      <w:proofErr w:type="spellStart"/>
      <w:r>
        <w:t>Vigni</w:t>
      </w:r>
      <w:proofErr w:type="spellEnd"/>
      <w:r>
        <w:t xml:space="preserve"> e l'ex responsabile dell'Area finanza Gianluca </w:t>
      </w:r>
      <w:proofErr w:type="spellStart"/>
      <w:r>
        <w:t>Baldasarri</w:t>
      </w:r>
      <w:proofErr w:type="spellEnd"/>
      <w:r>
        <w:t xml:space="preserve">), accusati di ostacolo all'esercizio delle funzioni dell'autorità di vigilanza, reato che per i magistrati avrebbero compiuto ''occultando'' il contratto di mandate </w:t>
      </w:r>
      <w:proofErr w:type="spellStart"/>
      <w:r>
        <w:t>agreement</w:t>
      </w:r>
      <w:proofErr w:type="spellEnd"/>
      <w:r>
        <w:t xml:space="preserve"> tra </w:t>
      </w:r>
      <w:proofErr w:type="spellStart"/>
      <w:r>
        <w:t>Mps</w:t>
      </w:r>
      <w:proofErr w:type="spellEnd"/>
      <w:r>
        <w:t xml:space="preserve"> e </w:t>
      </w:r>
      <w:proofErr w:type="spellStart"/>
      <w:r>
        <w:t>Nomura</w:t>
      </w:r>
      <w:proofErr w:type="spellEnd"/>
      <w:r>
        <w:t xml:space="preserve"> per la ristrutturazione del derivato Alexandria.  </w:t>
      </w:r>
    </w:p>
    <w:p w:rsidR="001D48DB" w:rsidRDefault="001D48DB" w:rsidP="001D48DB">
      <w:pPr>
        <w:pStyle w:val="Nessunaspaziatura"/>
        <w:ind w:left="0"/>
      </w:pPr>
      <w:r>
        <w:t xml:space="preserve">    Non ci saranno l’ex Governatore di Bankitalia Mario Draghi, l’ex direttore generale di Bankitalia e oggi ministro dell’Economia, Fabrizio Saccomanni, né l’ex </w:t>
      </w:r>
      <w:r>
        <w:lastRenderedPageBreak/>
        <w:t xml:space="preserve">capo della Vigilanza ed attuale presidente della Rai Anna Maria Tarantola, tra i testimoni chiamati in aula nel processo immediato a carico di Giuseppe </w:t>
      </w:r>
      <w:proofErr w:type="spellStart"/>
      <w:r>
        <w:t>Mussari</w:t>
      </w:r>
      <w:proofErr w:type="spellEnd"/>
      <w:r>
        <w:t xml:space="preserve">, Antonio </w:t>
      </w:r>
      <w:proofErr w:type="spellStart"/>
      <w:r>
        <w:t>Vigni</w:t>
      </w:r>
      <w:proofErr w:type="spellEnd"/>
      <w:r>
        <w:t xml:space="preserve"> e Gianluca Baldassarri.  Dovrebbero essere presenti, l’attuale amministratore delegato di </w:t>
      </w:r>
      <w:proofErr w:type="spellStart"/>
      <w:r>
        <w:t>Mps</w:t>
      </w:r>
      <w:proofErr w:type="spellEnd"/>
      <w:r>
        <w:t xml:space="preserve">, Fabrizio Viola, Gianni </w:t>
      </w:r>
      <w:proofErr w:type="spellStart"/>
      <w:r>
        <w:t>Contena</w:t>
      </w:r>
      <w:proofErr w:type="spellEnd"/>
      <w:r>
        <w:t xml:space="preserve">, Valentino Fanti, Marco Morelli, Tommaso Di Tanno e Daniele Bigi, oltre ad altri funzionari di Bankitalia,  della </w:t>
      </w:r>
      <w:proofErr w:type="spellStart"/>
      <w:r>
        <w:t>Consob</w:t>
      </w:r>
      <w:proofErr w:type="spellEnd"/>
      <w:r>
        <w:t xml:space="preserve"> e della banca d’affari americana </w:t>
      </w:r>
      <w:proofErr w:type="spellStart"/>
      <w:r>
        <w:t>Jp</w:t>
      </w:r>
      <w:proofErr w:type="spellEnd"/>
      <w:r>
        <w:t xml:space="preserve"> Morgan. Il gip Ugo Bellini, con un’ordinanza di sei pagine, ha disposto il processo immediato nei confronti dell’ex presidente, dell’ex direttore generale e dell’ex capo dell’area finanza di </w:t>
      </w:r>
      <w:proofErr w:type="spellStart"/>
      <w:r>
        <w:t>Mps</w:t>
      </w:r>
      <w:proofErr w:type="spellEnd"/>
      <w:r>
        <w:t xml:space="preserve">. Tutti e tre gli imputati dovranno rispondere del reato di ostacolo alle funzioni dell’autorità di vigilanza in concorso, reato che per i magistrati avrebbero compiuto «occultando» il contratto di mandate </w:t>
      </w:r>
      <w:proofErr w:type="spellStart"/>
      <w:r>
        <w:t>agreement</w:t>
      </w:r>
      <w:proofErr w:type="spellEnd"/>
      <w:r>
        <w:t xml:space="preserve"> tra </w:t>
      </w:r>
      <w:proofErr w:type="spellStart"/>
      <w:r>
        <w:t>Mps</w:t>
      </w:r>
      <w:proofErr w:type="spellEnd"/>
      <w:r>
        <w:t xml:space="preserve"> e </w:t>
      </w:r>
      <w:proofErr w:type="spellStart"/>
      <w:r>
        <w:t>Nomura</w:t>
      </w:r>
      <w:proofErr w:type="spellEnd"/>
      <w:r>
        <w:t xml:space="preserve"> per la ristrutturazione del derivato Alexandria. E proprio relativamente a quest’ultimo filone, le cui indagini sono state chiuse lo scorso 31 luglio con la notifica dell’avviso di conclusione ad undici indagati, c’è da registrare che con l’interrogatorio dell’ex vice direttore generale Fabrizio Rossi i </w:t>
      </w:r>
      <w:proofErr w:type="spellStart"/>
      <w:r>
        <w:t>pm</w:t>
      </w:r>
      <w:proofErr w:type="spellEnd"/>
      <w:r>
        <w:t xml:space="preserve"> titolari dell’inchiesta hanno concluso gli adempimenti previsti dal codice di procedura penale. Adesso i tre magistrati (Antonino Nastasi, Aldo </w:t>
      </w:r>
      <w:proofErr w:type="spellStart"/>
      <w:r>
        <w:t>Natalini</w:t>
      </w:r>
      <w:proofErr w:type="spellEnd"/>
      <w:r>
        <w:t xml:space="preserve"> e Giuseppe Grosso) hanno tempo sino al 3 ottobre per chiedere al gip il rinvio a giudizio degli 11 indagati o il loro proscioglimento.  Scrive l’avv. Antonio Tanza nella memoria di costituzione: “le persone giuridiche e gli enti di fatto sono legittimati a costituirsi parte civile non soltanto quando il danno riguardi un bene su cui gli stessi vantino un diritto patrimoniale, ma più in generale quando il danno coincida con la lesione di un diritto soggettivo, come avviene nel caso in cui offeso sia l’interesso perseguito da un’associazione in riferimento ad una situazione storicamente circostanziata, assunto nello statuto a ragione stessa della propria esistenza ed azione, con l’effetto che ogni attentato a tale interesse si configura come lesione del diritto di personalità o identità del sodalizio: così dal ultimo </w:t>
      </w:r>
      <w:proofErr w:type="spellStart"/>
      <w:r>
        <w:t>Cass</w:t>
      </w:r>
      <w:proofErr w:type="spellEnd"/>
      <w:r>
        <w:t xml:space="preserve">. 3.10.2007 n.38920) (Tribunale Penale Bari, GUP Sergio DI PAOLA, ordinanza del 26.09.2012). La costituzione di Parte Civile di ADUSBEF è diretta al fine di concorrere all’accertamento della penale responsabilità degli imputati ed ottenere il risarcimento dei danni non patrimoniali, ex artt. 185 c.p. e 2059 c.c., subiti a causa della condotta illecita degli imputati. I reati ipotizzati dalla Procura del Tribunale di Siena, oltre a ledere naturalmente l’interesse tutelato in via diretta dalla norma penale, finiscono con il produrre un danno dell’associazione di consumatori ADUSBEF), l’unica storicamente specializzata in Italia alla tutela del credito e dei servizi bancari e finanziari, che ha fatto della tutela del medesimo interesse il proprio scopo statutario esclusivo o prevalente. </w:t>
      </w:r>
    </w:p>
    <w:p w:rsidR="001D48DB" w:rsidRDefault="001D48DB" w:rsidP="001D48DB">
      <w:pPr>
        <w:pStyle w:val="Nessunaspaziatura"/>
        <w:ind w:left="0"/>
      </w:pPr>
      <w:r>
        <w:t>                                                                                                                                   Elio Lannutti (Presidente Adusbef)</w:t>
      </w:r>
    </w:p>
    <w:p w:rsidR="001D48DB" w:rsidRDefault="001D48DB" w:rsidP="001D48DB">
      <w:pPr>
        <w:pStyle w:val="Nessunaspaziatura"/>
        <w:ind w:left="0"/>
      </w:pPr>
      <w:r>
        <w:t>Roma,24 settembre 2013</w:t>
      </w:r>
    </w:p>
    <w:p w:rsidR="00C200C3" w:rsidRDefault="00C200C3" w:rsidP="001D48DB"/>
    <w:p w:rsidR="001D48DB" w:rsidRDefault="001D48DB"/>
    <w:sectPr w:rsidR="001D48D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3"/>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8DB"/>
    <w:rsid w:val="00130235"/>
    <w:rsid w:val="001A3C40"/>
    <w:rsid w:val="001D48DB"/>
    <w:rsid w:val="002E4C34"/>
    <w:rsid w:val="00370059"/>
    <w:rsid w:val="00424BEE"/>
    <w:rsid w:val="004F322C"/>
    <w:rsid w:val="005F3BF0"/>
    <w:rsid w:val="00632BCB"/>
    <w:rsid w:val="007339EC"/>
    <w:rsid w:val="00754201"/>
    <w:rsid w:val="00873879"/>
    <w:rsid w:val="0094402A"/>
    <w:rsid w:val="009B4EA1"/>
    <w:rsid w:val="00A42182"/>
    <w:rsid w:val="00B35AE5"/>
    <w:rsid w:val="00B90F78"/>
    <w:rsid w:val="00C200C3"/>
    <w:rsid w:val="00C55771"/>
    <w:rsid w:val="00C76E1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24BEE"/>
    <w:pPr>
      <w:spacing w:line="240" w:lineRule="auto"/>
      <w:ind w:left="0" w:right="0"/>
    </w:pPr>
    <w:rPr>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ind w:left="480" w:right="34"/>
      <w:outlineLvl w:val="0"/>
    </w:pPr>
    <w:rPr>
      <w:rFonts w:cs="Century Gothic"/>
      <w:b/>
      <w:bCs/>
      <w:sz w:val="32"/>
      <w:szCs w:val="32"/>
    </w:rPr>
  </w:style>
  <w:style w:type="paragraph" w:styleId="Titolo2">
    <w:name w:val="heading 2"/>
    <w:basedOn w:val="Normale"/>
    <w:link w:val="Titolo2Carattere"/>
    <w:qFormat/>
    <w:rsid w:val="00130235"/>
    <w:pPr>
      <w:keepNext/>
      <w:spacing w:before="240" w:after="60"/>
      <w:jc w:val="center"/>
      <w:outlineLvl w:val="1"/>
    </w:pPr>
    <w:rPr>
      <w:rFonts w:cs="Century Gothic"/>
    </w:rPr>
  </w:style>
  <w:style w:type="paragraph" w:styleId="Titolo3">
    <w:name w:val="heading 3"/>
    <w:basedOn w:val="Normale"/>
    <w:link w:val="Titolo3Carattere"/>
    <w:uiPriority w:val="9"/>
    <w:qFormat/>
    <w:rsid w:val="00130235"/>
    <w:pPr>
      <w:keepNext/>
      <w:spacing w:before="240" w:after="60"/>
      <w:outlineLvl w:val="2"/>
    </w:pPr>
    <w:rPr>
      <w:rFonts w:cs="Century Gothic"/>
      <w:b/>
      <w:bCs/>
    </w:rPr>
  </w:style>
  <w:style w:type="paragraph" w:styleId="Titolo4">
    <w:name w:val="heading 4"/>
    <w:basedOn w:val="Normale"/>
    <w:link w:val="Titolo4Carattere"/>
    <w:uiPriority w:val="9"/>
    <w:qFormat/>
    <w:rsid w:val="00130235"/>
    <w:pPr>
      <w:keepNext/>
      <w:spacing w:before="240" w:after="60"/>
      <w:outlineLvl w:val="3"/>
    </w:pPr>
    <w:rPr>
      <w:rFonts w:ascii="Times New Roman" w:hAnsi="Times New Roman"/>
      <w:b/>
      <w:bCs/>
      <w:sz w:val="28"/>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24BEE"/>
    <w:pPr>
      <w:spacing w:line="240" w:lineRule="auto"/>
      <w:ind w:left="0" w:right="0"/>
    </w:pPr>
    <w:rPr>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ind w:left="480" w:right="34"/>
      <w:outlineLvl w:val="0"/>
    </w:pPr>
    <w:rPr>
      <w:rFonts w:cs="Century Gothic"/>
      <w:b/>
      <w:bCs/>
      <w:sz w:val="32"/>
      <w:szCs w:val="32"/>
    </w:rPr>
  </w:style>
  <w:style w:type="paragraph" w:styleId="Titolo2">
    <w:name w:val="heading 2"/>
    <w:basedOn w:val="Normale"/>
    <w:link w:val="Titolo2Carattere"/>
    <w:qFormat/>
    <w:rsid w:val="00130235"/>
    <w:pPr>
      <w:keepNext/>
      <w:spacing w:before="240" w:after="60"/>
      <w:jc w:val="center"/>
      <w:outlineLvl w:val="1"/>
    </w:pPr>
    <w:rPr>
      <w:rFonts w:cs="Century Gothic"/>
    </w:rPr>
  </w:style>
  <w:style w:type="paragraph" w:styleId="Titolo3">
    <w:name w:val="heading 3"/>
    <w:basedOn w:val="Normale"/>
    <w:link w:val="Titolo3Carattere"/>
    <w:uiPriority w:val="9"/>
    <w:qFormat/>
    <w:rsid w:val="00130235"/>
    <w:pPr>
      <w:keepNext/>
      <w:spacing w:before="240" w:after="60"/>
      <w:outlineLvl w:val="2"/>
    </w:pPr>
    <w:rPr>
      <w:rFonts w:cs="Century Gothic"/>
      <w:b/>
      <w:bCs/>
    </w:rPr>
  </w:style>
  <w:style w:type="paragraph" w:styleId="Titolo4">
    <w:name w:val="heading 4"/>
    <w:basedOn w:val="Normale"/>
    <w:link w:val="Titolo4Carattere"/>
    <w:uiPriority w:val="9"/>
    <w:qFormat/>
    <w:rsid w:val="00130235"/>
    <w:pPr>
      <w:keepNext/>
      <w:spacing w:before="240" w:after="60"/>
      <w:outlineLvl w:val="3"/>
    </w:pPr>
    <w:rPr>
      <w:rFonts w:ascii="Times New Roman" w:hAnsi="Times New Roman"/>
      <w:b/>
      <w:bCs/>
      <w:sz w:val="28"/>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8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ps.i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1087</Words>
  <Characters>6202</Characters>
  <Application>Microsoft Office Word</Application>
  <DocSecurity>0</DocSecurity>
  <Lines>51</Lines>
  <Paragraphs>14</Paragraphs>
  <ScaleCrop>false</ScaleCrop>
  <Company/>
  <LinksUpToDate>false</LinksUpToDate>
  <CharactersWithSpaces>7275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2013-09-24T15:32:00Z</dcterms:created>
  <dcterms:modified xsi:type="dcterms:W3CDTF">2013-09-24T15:34:00Z</dcterms:modified>
</cp:coreProperties>
</file>