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8AF" w:rsidRDefault="006778AF" w:rsidP="006778AF">
      <w:pPr>
        <w:pStyle w:val="Nessunaspaziatura"/>
        <w:jc w:val="center"/>
      </w:pPr>
      <w:r>
        <w:t>COMUNICATO STAMPA</w:t>
      </w:r>
    </w:p>
    <w:p w:rsidR="006778AF" w:rsidRDefault="006778AF" w:rsidP="006778AF">
      <w:pPr>
        <w:pStyle w:val="Nessunaspaziatura"/>
        <w:jc w:val="center"/>
      </w:pPr>
    </w:p>
    <w:p w:rsidR="006778AF" w:rsidRDefault="006778AF" w:rsidP="006778AF">
      <w:pPr>
        <w:pStyle w:val="Nessunaspaziatura"/>
        <w:jc w:val="center"/>
      </w:pPr>
      <w:r>
        <w:t xml:space="preserve">BANCHE: GLI ALLEGRI  FIDI ELARGITI SENZA GARANZIE AL SIGNOR ZALESKY E GLI OMESSI CONTROLLI DI BANKITALIA, FINISCONO SUL TAVOLO DELLE PROCURE. </w:t>
      </w:r>
    </w:p>
    <w:p w:rsidR="006778AF" w:rsidRDefault="006778AF" w:rsidP="006778AF">
      <w:pPr>
        <w:pStyle w:val="Nessunaspaziatura"/>
        <w:jc w:val="center"/>
      </w:pPr>
      <w:r>
        <w:t>I BANCHIERI NEGANO POCHI SPICCIOLI AI PICCOLI IMPRENDITORI REVOCANDO GLI AFFIDAMENTI (</w:t>
      </w:r>
      <w:r w:rsidR="00333C06">
        <w:t xml:space="preserve">AD </w:t>
      </w:r>
      <w:r>
        <w:t>ES 5.000 EURO ALLA VOCE),</w:t>
      </w:r>
      <w:r w:rsidR="00333C06">
        <w:t xml:space="preserve"> </w:t>
      </w:r>
      <w:r>
        <w:t>PER FORAGGIARE AMICI E COMPARI.</w:t>
      </w:r>
    </w:p>
    <w:p w:rsidR="006778AF" w:rsidRDefault="006778AF" w:rsidP="006778AF">
      <w:pPr>
        <w:pStyle w:val="Nessunaspaziatura"/>
      </w:pPr>
    </w:p>
    <w:p w:rsidR="008F6714" w:rsidRDefault="00333C06" w:rsidP="00333C06">
      <w:pPr>
        <w:pStyle w:val="Nessunaspaziatura"/>
        <w:jc w:val="both"/>
      </w:pPr>
      <w:r>
        <w:t xml:space="preserve">    Una prudente gestione del credito e del risparmio, impone che prima di offrire affidamenti, i banchieri ed i relativi comitati fidi, debbano scrutinare la capacità del richiedente di poter far fronte alla restituzione del debito o di offrire garanzie tangibili per evitare di iscrivere i fidi a sofferenza (arrivati a 13</w:t>
      </w:r>
      <w:r w:rsidR="00862CA2">
        <w:t>8</w:t>
      </w:r>
      <w:r>
        <w:t xml:space="preserve"> </w:t>
      </w:r>
      <w:proofErr w:type="spellStart"/>
      <w:r>
        <w:t>mld</w:t>
      </w:r>
      <w:proofErr w:type="spellEnd"/>
      <w:r>
        <w:t xml:space="preserve"> di euro al giugno scorso) evitando così perdite nei bilanci. Questo principio di sana e prudente gestione del credito, può valere per i comuni mortali senza “santi in paradiso”, che faticano non poco ad ottenere gli affidamenti per finanziare le loro intraprese, ma non per i “fiduciari” che alcuni banchieri possano scegliere, per poter controllare in tal modo, con generose ed illimitate aperture dei rubinetti del credito, da costituire in pegno alle stesse banche eroganti, assetti importanti del cosiddetto “capitalismo italiano”. Uno di questi “fiduciari” del “salotto buono bancario”, si chiama Roman Zaleski, che avrebbe accumulato a fine 2008, a seguito della grave tempesta finanziaria e la caduta dei valori di borsa delle azioni date in pegno alle banche, perdite teoriche per circa 6 miliardi di euro.</w:t>
      </w:r>
      <w:r w:rsidR="008F6714">
        <w:t xml:space="preserve"> Nel 2008 Unic</w:t>
      </w:r>
      <w:r>
        <w:t xml:space="preserve">redit </w:t>
      </w:r>
      <w:r w:rsidR="008F6714">
        <w:t xml:space="preserve">si era adoperato </w:t>
      </w:r>
      <w:r>
        <w:t xml:space="preserve">per salvare  il finanziere Zaleski, </w:t>
      </w:r>
      <w:r w:rsidR="008F6714">
        <w:t xml:space="preserve">con </w:t>
      </w:r>
      <w:r>
        <w:t xml:space="preserve"> la ristrutturazione dei debiti della Carlo Tassara</w:t>
      </w:r>
      <w:r w:rsidR="008F6714">
        <w:t>,</w:t>
      </w:r>
      <w:r>
        <w:t xml:space="preserve"> che aveva registrato un buco da 1,6 miliardi di euro</w:t>
      </w:r>
      <w:r w:rsidR="008F6714">
        <w:t xml:space="preserve"> con un </w:t>
      </w:r>
      <w:r>
        <w:t>debit</w:t>
      </w:r>
      <w:r w:rsidR="008F6714">
        <w:t>o</w:t>
      </w:r>
      <w:r>
        <w:t xml:space="preserve"> per 6,1 miliardi di euro. Di questi, 4,4 miliardi gli </w:t>
      </w:r>
      <w:r w:rsidR="00862CA2">
        <w:t>era</w:t>
      </w:r>
      <w:r>
        <w:t xml:space="preserve">no arrivati da banche italiane, e 1,6 da due straniere, </w:t>
      </w:r>
      <w:proofErr w:type="spellStart"/>
      <w:r>
        <w:t>Bnp</w:t>
      </w:r>
      <w:proofErr w:type="spellEnd"/>
      <w:r>
        <w:t xml:space="preserve"> </w:t>
      </w:r>
      <w:proofErr w:type="spellStart"/>
      <w:r>
        <w:t>Paribas</w:t>
      </w:r>
      <w:proofErr w:type="spellEnd"/>
      <w:r>
        <w:t xml:space="preserve"> (900 milioni) e </w:t>
      </w:r>
      <w:proofErr w:type="spellStart"/>
      <w:r>
        <w:t>Royal</w:t>
      </w:r>
      <w:proofErr w:type="spellEnd"/>
      <w:r>
        <w:t xml:space="preserve"> </w:t>
      </w:r>
      <w:proofErr w:type="spellStart"/>
      <w:r>
        <w:t>Bank</w:t>
      </w:r>
      <w:proofErr w:type="spellEnd"/>
      <w:r>
        <w:t xml:space="preserve"> of Scotland (700). </w:t>
      </w:r>
      <w:r w:rsidR="008F6714">
        <w:t xml:space="preserve">   </w:t>
      </w:r>
    </w:p>
    <w:p w:rsidR="00333C06" w:rsidRDefault="008F6714" w:rsidP="00333C06">
      <w:pPr>
        <w:pStyle w:val="Nessunaspaziatura"/>
        <w:jc w:val="both"/>
      </w:pPr>
      <w:r>
        <w:t xml:space="preserve">    Montagne di quattrini, sottratti ad imprenditori più meritevoli, non </w:t>
      </w:r>
      <w:r w:rsidR="00333C06">
        <w:t>per creare imprese, posti di lavoro,</w:t>
      </w:r>
      <w:r>
        <w:t xml:space="preserve"> </w:t>
      </w:r>
      <w:r w:rsidR="00333C06">
        <w:t>ricchezza,</w:t>
      </w:r>
      <w:r>
        <w:t xml:space="preserve"> </w:t>
      </w:r>
      <w:r w:rsidR="00333C06">
        <w:t>ma per comperare in Borsa pacchetti d</w:t>
      </w:r>
      <w:r>
        <w:t xml:space="preserve">i </w:t>
      </w:r>
      <w:r w:rsidR="00333C06">
        <w:t>società quotate a Milano</w:t>
      </w:r>
      <w:r>
        <w:t xml:space="preserve">, girate </w:t>
      </w:r>
      <w:r w:rsidR="00333C06">
        <w:t xml:space="preserve">a garanzia di quei 6,1 miliardi </w:t>
      </w:r>
      <w:r>
        <w:t xml:space="preserve">di debiti con le stesse </w:t>
      </w:r>
      <w:r w:rsidR="00333C06">
        <w:t xml:space="preserve">azioni </w:t>
      </w:r>
      <w:r>
        <w:t>del “salotto buono”.</w:t>
      </w:r>
    </w:p>
    <w:p w:rsidR="00333C06" w:rsidRDefault="008F6714" w:rsidP="00333C06">
      <w:pPr>
        <w:pStyle w:val="Nessunaspaziatura"/>
        <w:jc w:val="both"/>
      </w:pPr>
      <w:r>
        <w:t xml:space="preserve">    </w:t>
      </w:r>
      <w:r w:rsidR="00333C06">
        <w:t xml:space="preserve">In questi giorni si ripropone lo scandaloso problema della Carlo Tassara, </w:t>
      </w:r>
      <w:r>
        <w:t xml:space="preserve">ancora </w:t>
      </w:r>
      <w:r w:rsidR="00333C06">
        <w:t>indebitata per 2,25 miliardi verso il sistema bancario italiano. Di questi 1,2 miliardi (per 800 milioni senza garanzie) sono debiti verso Intesa Sanpaolo mentre altri 500 milioni, in parte coperti da garanzie, sono dovuti a Unicredit</w:t>
      </w:r>
      <w:r>
        <w:t>,</w:t>
      </w:r>
      <w:r w:rsidR="0076740E">
        <w:t xml:space="preserve"> 200 milioni </w:t>
      </w:r>
      <w:proofErr w:type="spellStart"/>
      <w:r w:rsidR="00333C06">
        <w:t>Mps</w:t>
      </w:r>
      <w:proofErr w:type="spellEnd"/>
      <w:r w:rsidR="0076740E">
        <w:t>, 150</w:t>
      </w:r>
      <w:r w:rsidR="00333C06">
        <w:t xml:space="preserve"> </w:t>
      </w:r>
      <w:proofErr w:type="spellStart"/>
      <w:r w:rsidR="00333C06">
        <w:t>Ubi</w:t>
      </w:r>
      <w:proofErr w:type="spellEnd"/>
      <w:r w:rsidR="0076740E">
        <w:t xml:space="preserve">, 130 </w:t>
      </w:r>
      <w:proofErr w:type="spellStart"/>
      <w:r w:rsidR="00333C06">
        <w:t>Bpm</w:t>
      </w:r>
      <w:proofErr w:type="spellEnd"/>
      <w:r w:rsidR="00333C06">
        <w:t xml:space="preserve"> (130 milioni),partecipate </w:t>
      </w:r>
      <w:r w:rsidR="0076740E">
        <w:t xml:space="preserve">a loro volta </w:t>
      </w:r>
      <w:r w:rsidR="00333C06">
        <w:t>dalla Tassara</w:t>
      </w:r>
      <w:r w:rsidR="0076740E">
        <w:t xml:space="preserve"> in un  gigantesco conflitto di interessi tollerato da </w:t>
      </w:r>
      <w:proofErr w:type="spellStart"/>
      <w:r w:rsidR="0076740E">
        <w:t>Bankitalia</w:t>
      </w:r>
      <w:proofErr w:type="spellEnd"/>
      <w:r w:rsidR="00333C06">
        <w:t>.</w:t>
      </w:r>
    </w:p>
    <w:p w:rsidR="00333C06" w:rsidRDefault="00333C06" w:rsidP="00333C06">
      <w:pPr>
        <w:pStyle w:val="Nessunaspaziatura"/>
        <w:jc w:val="both"/>
      </w:pPr>
      <w:r>
        <w:t xml:space="preserve">     Infatti la “Carlo Tassara spa” del finanziere franco-polacco </w:t>
      </w:r>
      <w:proofErr w:type="spellStart"/>
      <w:r>
        <w:t>Romain</w:t>
      </w:r>
      <w:proofErr w:type="spellEnd"/>
      <w:r>
        <w:t xml:space="preserve"> Zaleski, per procedere alla terza ristrutturazione degli oltre 2,3 miliardi di debiti, in affanno dal 2008 a causa della crisi che ha sgonfiato il valore delle sue partecipazioni assunte a debito - ha in pancia significativi pacchetti delle principali banche italiane,dall'1,7% di Intesa Sanpaolo all'1,4% di </w:t>
      </w:r>
      <w:proofErr w:type="spellStart"/>
      <w:r>
        <w:t>Mps</w:t>
      </w:r>
      <w:proofErr w:type="spellEnd"/>
      <w:r>
        <w:t xml:space="preserve">, dall'1,4% di </w:t>
      </w:r>
      <w:proofErr w:type="spellStart"/>
      <w:r>
        <w:t>Ubi</w:t>
      </w:r>
      <w:proofErr w:type="spellEnd"/>
      <w:r>
        <w:t xml:space="preserve"> all'1,17% di Mediobanca passando per Generali (0,68%),A2A (2,5%), </w:t>
      </w:r>
      <w:proofErr w:type="spellStart"/>
      <w:r>
        <w:t>Bpm</w:t>
      </w:r>
      <w:proofErr w:type="spellEnd"/>
      <w:r>
        <w:t xml:space="preserve"> (0,25%) e </w:t>
      </w:r>
      <w:proofErr w:type="spellStart"/>
      <w:r>
        <w:t>Mittel</w:t>
      </w:r>
      <w:proofErr w:type="spellEnd"/>
      <w:r>
        <w:t xml:space="preserve"> (19%).</w:t>
      </w:r>
    </w:p>
    <w:p w:rsidR="00333C06" w:rsidRDefault="00333C06" w:rsidP="00333C06">
      <w:pPr>
        <w:pStyle w:val="Nessunaspaziatura"/>
        <w:jc w:val="both"/>
      </w:pPr>
      <w:r>
        <w:t xml:space="preserve">   Concedere crediti illimitati e senza garanzie reali, rinnovandoli annualmente come le maggiori banche hanno effettuato alla Carlo Tassara, in cambio di acquisto delle azioni delle stesse banche, senza che la Banca d’Italia sia mai intervenuta, significa mettere a repentaglio il bene risparmio tutelato dalla Costituzione, senza contare le possibili violazioni penali per abusiva concessione di credito il quale, se impiegato per finalità clientelari, non può essere destinato alla clientela più meritevole soggetta a restrizioni ed addirittura a revoca con un preavviso di 24 ore</w:t>
      </w:r>
      <w:r w:rsidR="0076740E">
        <w:t xml:space="preserve"> (con il paradosso di 5.000 euro</w:t>
      </w:r>
      <w:r w:rsidR="00862CA2">
        <w:t xml:space="preserve"> di fido </w:t>
      </w:r>
      <w:r w:rsidR="0076740E">
        <w:t xml:space="preserve"> revocato al giornale di inchiesta “La Voce delle Voci”</w:t>
      </w:r>
      <w:r w:rsidR="00862CA2">
        <w:t>)</w:t>
      </w:r>
      <w:r w:rsidR="0076740E">
        <w:t xml:space="preserve">. </w:t>
      </w:r>
      <w:r>
        <w:t xml:space="preserve">    </w:t>
      </w:r>
    </w:p>
    <w:p w:rsidR="00333C06" w:rsidRDefault="00333C06" w:rsidP="00333C06">
      <w:pPr>
        <w:pStyle w:val="Nessunaspaziatura"/>
        <w:jc w:val="both"/>
      </w:pPr>
      <w:r>
        <w:t xml:space="preserve">  </w:t>
      </w:r>
      <w:r w:rsidR="008F6714">
        <w:t xml:space="preserve">  A fronte di questo ennesimo scandalo bancario,</w:t>
      </w:r>
      <w:r>
        <w:t xml:space="preserve"> Adusbef e Federconsumatori </w:t>
      </w:r>
      <w:r w:rsidR="008F6714">
        <w:t xml:space="preserve">in esposti depositati </w:t>
      </w:r>
      <w:r w:rsidR="0076740E">
        <w:t xml:space="preserve">ieri </w:t>
      </w:r>
      <w:r w:rsidR="008F6714">
        <w:t xml:space="preserve">alle </w:t>
      </w:r>
      <w:r>
        <w:t>Procur</w:t>
      </w:r>
      <w:r w:rsidR="008F6714">
        <w:t>e</w:t>
      </w:r>
      <w:r>
        <w:t xml:space="preserve"> della Repubblica</w:t>
      </w:r>
      <w:r w:rsidR="008F6714">
        <w:t xml:space="preserve">, hanno chiesto </w:t>
      </w:r>
      <w:r>
        <w:t xml:space="preserve">di verificare </w:t>
      </w:r>
      <w:r w:rsidR="008F6714">
        <w:t xml:space="preserve"> </w:t>
      </w:r>
      <w:r>
        <w:t>comportamenti generosi de</w:t>
      </w:r>
      <w:r w:rsidR="0076740E">
        <w:t xml:space="preserve">i banchieri </w:t>
      </w:r>
      <w:r>
        <w:t>verso Zaleski e Tassara</w:t>
      </w:r>
      <w:r w:rsidR="0076740E">
        <w:t xml:space="preserve"> beneficati da credito illimitato</w:t>
      </w:r>
      <w:r>
        <w:t xml:space="preserve">, al contrario restrittivi </w:t>
      </w:r>
      <w:r w:rsidR="0076740E">
        <w:t>per</w:t>
      </w:r>
      <w:r>
        <w:t xml:space="preserve"> la “clientela comune”, </w:t>
      </w:r>
      <w:r w:rsidR="008F6714">
        <w:t>con l’apertura di</w:t>
      </w:r>
      <w:r>
        <w:t xml:space="preserve"> una inchiesta volta ad accertare se dietro tali allegre concessioni di credito a rischio sofferenza, non si possano configurare reati </w:t>
      </w:r>
      <w:r w:rsidR="00862CA2">
        <w:t xml:space="preserve">e comportamenti delittuosi, </w:t>
      </w:r>
      <w:r>
        <w:t>quali abusiva concessione del credito, incauti affidamenti, surrettizio controllo societario, triangolazione con società estere</w:t>
      </w:r>
      <w:r w:rsidR="00862CA2">
        <w:t>, già sanzionati penalmente da giudizi della Corte di Cassazione</w:t>
      </w:r>
      <w:r>
        <w:t>.</w:t>
      </w:r>
    </w:p>
    <w:p w:rsidR="0076740E" w:rsidRDefault="0076740E" w:rsidP="00333C06">
      <w:pPr>
        <w:pStyle w:val="Nessunaspaziatura"/>
        <w:jc w:val="both"/>
      </w:pPr>
    </w:p>
    <w:p w:rsidR="0076740E" w:rsidRDefault="0076740E" w:rsidP="00333C06">
      <w:pPr>
        <w:pStyle w:val="Nessunaspaziatura"/>
        <w:jc w:val="both"/>
      </w:pPr>
      <w:r>
        <w:t xml:space="preserve">                                                         Elio Lannutti (Adusbef) – Rosario </w:t>
      </w:r>
      <w:proofErr w:type="spellStart"/>
      <w:r>
        <w:t>Trefiletti</w:t>
      </w:r>
      <w:proofErr w:type="spellEnd"/>
      <w:r>
        <w:t xml:space="preserve"> (Federconsumatori)</w:t>
      </w:r>
    </w:p>
    <w:p w:rsidR="0076740E" w:rsidRDefault="0076740E" w:rsidP="00333C06">
      <w:pPr>
        <w:pStyle w:val="Nessunaspaziatura"/>
        <w:jc w:val="both"/>
      </w:pPr>
      <w:r>
        <w:t>Roma, 29 agosto 2013</w:t>
      </w:r>
    </w:p>
    <w:p w:rsidR="00862CA2" w:rsidRDefault="00862CA2" w:rsidP="00862CA2">
      <w:pPr>
        <w:widowControl w:val="0"/>
        <w:jc w:val="center"/>
        <w:rPr>
          <w:rFonts w:eastAsia="Times New Roman"/>
          <w:b/>
        </w:rPr>
      </w:pPr>
      <w:r>
        <w:rPr>
          <w:rFonts w:eastAsia="Times New Roman"/>
          <w:b/>
        </w:rPr>
        <w:t>Prestiti e depositi di residenti</w:t>
      </w:r>
    </w:p>
    <w:p w:rsidR="00862CA2" w:rsidRDefault="00862CA2" w:rsidP="00862CA2">
      <w:pPr>
        <w:widowControl w:val="0"/>
        <w:jc w:val="center"/>
        <w:rPr>
          <w:rFonts w:eastAsia="Times New Roman"/>
        </w:rPr>
      </w:pPr>
      <w:r>
        <w:rPr>
          <w:rFonts w:eastAsia="Times New Roman"/>
        </w:rPr>
        <w:t xml:space="preserve">Fonte </w:t>
      </w:r>
      <w:proofErr w:type="spellStart"/>
      <w:r>
        <w:rPr>
          <w:rFonts w:eastAsia="Times New Roman"/>
        </w:rPr>
        <w:t>Bankitalia</w:t>
      </w:r>
      <w:proofErr w:type="spellEnd"/>
      <w:r>
        <w:rPr>
          <w:rFonts w:eastAsia="Times New Roman"/>
        </w:rPr>
        <w:t xml:space="preserve">: </w:t>
      </w:r>
      <w:proofErr w:type="spellStart"/>
      <w:r>
        <w:rPr>
          <w:rFonts w:eastAsia="Times New Roman"/>
        </w:rPr>
        <w:t>Suppl</w:t>
      </w:r>
      <w:proofErr w:type="spellEnd"/>
      <w:r>
        <w:rPr>
          <w:rFonts w:eastAsia="Times New Roman"/>
        </w:rPr>
        <w:t xml:space="preserve">. Boll.no Statistico </w:t>
      </w:r>
    </w:p>
    <w:p w:rsidR="00862CA2" w:rsidRDefault="00862CA2" w:rsidP="00862CA2">
      <w:pPr>
        <w:widowControl w:val="0"/>
        <w:jc w:val="center"/>
        <w:rPr>
          <w:rFonts w:eastAsia="Times New Roman"/>
        </w:rPr>
      </w:pPr>
      <w:r>
        <w:rPr>
          <w:rFonts w:eastAsia="Times New Roman"/>
        </w:rPr>
        <w:t>“Moneta e banche” n° 40 dell’8-8-2013</w:t>
      </w:r>
    </w:p>
    <w:p w:rsidR="00862CA2" w:rsidRDefault="00862CA2" w:rsidP="00862CA2">
      <w:pPr>
        <w:widowControl w:val="0"/>
        <w:jc w:val="center"/>
        <w:rPr>
          <w:rFonts w:eastAsia="Times New Roman"/>
        </w:rPr>
      </w:pPr>
    </w:p>
    <w:p w:rsidR="00862CA2" w:rsidRDefault="00862CA2" w:rsidP="00862CA2">
      <w:pPr>
        <w:widowControl w:val="0"/>
        <w:jc w:val="center"/>
        <w:rPr>
          <w:rFonts w:eastAsia="Times New Roman"/>
        </w:rPr>
      </w:pPr>
    </w:p>
    <w:tbl>
      <w:tblPr>
        <w:tblStyle w:val="Grigliatabella"/>
        <w:tblW w:w="0" w:type="auto"/>
        <w:jc w:val="center"/>
        <w:tblInd w:w="0" w:type="dxa"/>
        <w:tblLook w:val="04A0" w:firstRow="1" w:lastRow="0" w:firstColumn="1" w:lastColumn="0" w:noHBand="0" w:noVBand="1"/>
      </w:tblPr>
      <w:tblGrid>
        <w:gridCol w:w="3794"/>
        <w:gridCol w:w="2724"/>
      </w:tblGrid>
      <w:tr w:rsidR="00862CA2" w:rsidTr="00862CA2">
        <w:trPr>
          <w:jc w:val="center"/>
        </w:trPr>
        <w:tc>
          <w:tcPr>
            <w:tcW w:w="3794"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862CA2" w:rsidRDefault="00862CA2">
            <w:pPr>
              <w:widowControl w:val="0"/>
              <w:ind w:left="0"/>
              <w:jc w:val="left"/>
              <w:rPr>
                <w:rFonts w:eastAsia="Times New Roman"/>
                <w:b/>
              </w:rPr>
            </w:pPr>
          </w:p>
        </w:tc>
        <w:tc>
          <w:tcPr>
            <w:tcW w:w="2724"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widowControl w:val="0"/>
              <w:ind w:left="0"/>
              <w:jc w:val="center"/>
              <w:rPr>
                <w:rFonts w:eastAsia="Times New Roman"/>
                <w:b/>
              </w:rPr>
            </w:pPr>
            <w:r>
              <w:rPr>
                <w:rFonts w:eastAsia="Times New Roman"/>
                <w:b/>
                <w:iCs w:val="0"/>
              </w:rPr>
              <w:t>Giugno 2013</w:t>
            </w:r>
          </w:p>
        </w:tc>
      </w:tr>
      <w:tr w:rsidR="00862CA2" w:rsidTr="00862CA2">
        <w:trPr>
          <w:jc w:val="center"/>
        </w:trPr>
        <w:tc>
          <w:tcPr>
            <w:tcW w:w="3794"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widowControl w:val="0"/>
              <w:ind w:left="0"/>
              <w:jc w:val="left"/>
              <w:rPr>
                <w:rFonts w:eastAsia="Times New Roman"/>
                <w:b/>
              </w:rPr>
            </w:pPr>
            <w:r>
              <w:rPr>
                <w:rFonts w:eastAsia="Times New Roman"/>
                <w:b/>
                <w:iCs w:val="0"/>
              </w:rPr>
              <w:t>Prestiti a residenti</w:t>
            </w:r>
          </w:p>
        </w:tc>
        <w:tc>
          <w:tcPr>
            <w:tcW w:w="2724" w:type="dxa"/>
            <w:tcBorders>
              <w:top w:val="single" w:sz="4" w:space="0" w:color="auto"/>
              <w:left w:val="single" w:sz="4" w:space="0" w:color="auto"/>
              <w:bottom w:val="single" w:sz="4" w:space="0" w:color="auto"/>
              <w:right w:val="single" w:sz="4" w:space="0" w:color="auto"/>
            </w:tcBorders>
            <w:hideMark/>
          </w:tcPr>
          <w:p w:rsidR="00862CA2" w:rsidRDefault="00862CA2">
            <w:pPr>
              <w:widowControl w:val="0"/>
              <w:ind w:left="0"/>
              <w:jc w:val="right"/>
              <w:rPr>
                <w:rFonts w:eastAsia="Times New Roman"/>
                <w:b/>
              </w:rPr>
            </w:pPr>
            <w:r>
              <w:rPr>
                <w:rFonts w:eastAsia="Times New Roman"/>
                <w:b/>
                <w:iCs w:val="0"/>
              </w:rPr>
              <w:t>2.318,377</w:t>
            </w:r>
          </w:p>
        </w:tc>
      </w:tr>
      <w:tr w:rsidR="00862CA2" w:rsidTr="00862CA2">
        <w:trPr>
          <w:jc w:val="center"/>
        </w:trPr>
        <w:tc>
          <w:tcPr>
            <w:tcW w:w="3794"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widowControl w:val="0"/>
              <w:ind w:left="0"/>
              <w:jc w:val="left"/>
              <w:rPr>
                <w:rFonts w:eastAsia="Times New Roman"/>
                <w:b/>
              </w:rPr>
            </w:pPr>
            <w:r>
              <w:rPr>
                <w:rFonts w:eastAsia="Times New Roman"/>
                <w:b/>
                <w:iCs w:val="0"/>
              </w:rPr>
              <w:t xml:space="preserve">…di cui a </w:t>
            </w:r>
            <w:proofErr w:type="spellStart"/>
            <w:r>
              <w:rPr>
                <w:rFonts w:eastAsia="Times New Roman"/>
                <w:b/>
                <w:iCs w:val="0"/>
              </w:rPr>
              <w:t>Soc</w:t>
            </w:r>
            <w:proofErr w:type="spellEnd"/>
            <w:r>
              <w:rPr>
                <w:rFonts w:eastAsia="Times New Roman"/>
                <w:b/>
                <w:iCs w:val="0"/>
              </w:rPr>
              <w:t>. non finanziarie</w:t>
            </w:r>
          </w:p>
        </w:tc>
        <w:tc>
          <w:tcPr>
            <w:tcW w:w="2724" w:type="dxa"/>
            <w:tcBorders>
              <w:top w:val="single" w:sz="4" w:space="0" w:color="auto"/>
              <w:left w:val="single" w:sz="4" w:space="0" w:color="auto"/>
              <w:bottom w:val="single" w:sz="4" w:space="0" w:color="auto"/>
              <w:right w:val="single" w:sz="4" w:space="0" w:color="auto"/>
            </w:tcBorders>
            <w:hideMark/>
          </w:tcPr>
          <w:p w:rsidR="00862CA2" w:rsidRDefault="00862CA2">
            <w:pPr>
              <w:widowControl w:val="0"/>
              <w:ind w:left="0"/>
              <w:jc w:val="right"/>
              <w:rPr>
                <w:rFonts w:eastAsia="Times New Roman"/>
                <w:b/>
              </w:rPr>
            </w:pPr>
            <w:r>
              <w:rPr>
                <w:rFonts w:eastAsia="Times New Roman"/>
                <w:b/>
                <w:iCs w:val="0"/>
              </w:rPr>
              <w:t>840,402</w:t>
            </w:r>
          </w:p>
        </w:tc>
      </w:tr>
      <w:tr w:rsidR="00862CA2" w:rsidTr="00862CA2">
        <w:trPr>
          <w:jc w:val="center"/>
        </w:trPr>
        <w:tc>
          <w:tcPr>
            <w:tcW w:w="3794"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862CA2" w:rsidRDefault="00862CA2">
            <w:pPr>
              <w:widowControl w:val="0"/>
              <w:ind w:left="0"/>
              <w:jc w:val="left"/>
              <w:rPr>
                <w:rFonts w:eastAsia="Times New Roman"/>
                <w:b/>
              </w:rPr>
            </w:pPr>
          </w:p>
        </w:tc>
        <w:tc>
          <w:tcPr>
            <w:tcW w:w="2724" w:type="dxa"/>
            <w:tcBorders>
              <w:top w:val="single" w:sz="4" w:space="0" w:color="auto"/>
              <w:left w:val="single" w:sz="4" w:space="0" w:color="auto"/>
              <w:bottom w:val="single" w:sz="4" w:space="0" w:color="auto"/>
              <w:right w:val="single" w:sz="4" w:space="0" w:color="auto"/>
            </w:tcBorders>
          </w:tcPr>
          <w:p w:rsidR="00862CA2" w:rsidRDefault="00862CA2">
            <w:pPr>
              <w:widowControl w:val="0"/>
              <w:ind w:left="0"/>
              <w:jc w:val="center"/>
              <w:rPr>
                <w:rFonts w:eastAsia="Times New Roman"/>
                <w:b/>
              </w:rPr>
            </w:pPr>
          </w:p>
        </w:tc>
      </w:tr>
      <w:tr w:rsidR="00862CA2" w:rsidTr="00862CA2">
        <w:trPr>
          <w:jc w:val="center"/>
        </w:trPr>
        <w:tc>
          <w:tcPr>
            <w:tcW w:w="3794"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widowControl w:val="0"/>
              <w:ind w:left="0"/>
              <w:jc w:val="left"/>
              <w:rPr>
                <w:rFonts w:eastAsia="Times New Roman"/>
                <w:b/>
              </w:rPr>
            </w:pPr>
            <w:r>
              <w:rPr>
                <w:rFonts w:eastAsia="Times New Roman"/>
                <w:b/>
                <w:iCs w:val="0"/>
              </w:rPr>
              <w:t>Depositi di residenti</w:t>
            </w:r>
          </w:p>
        </w:tc>
        <w:tc>
          <w:tcPr>
            <w:tcW w:w="2724" w:type="dxa"/>
            <w:tcBorders>
              <w:top w:val="single" w:sz="4" w:space="0" w:color="auto"/>
              <w:left w:val="single" w:sz="4" w:space="0" w:color="auto"/>
              <w:bottom w:val="single" w:sz="4" w:space="0" w:color="auto"/>
              <w:right w:val="single" w:sz="4" w:space="0" w:color="auto"/>
            </w:tcBorders>
            <w:hideMark/>
          </w:tcPr>
          <w:p w:rsidR="00862CA2" w:rsidRDefault="00862CA2">
            <w:pPr>
              <w:widowControl w:val="0"/>
              <w:ind w:left="0"/>
              <w:jc w:val="right"/>
              <w:rPr>
                <w:rFonts w:eastAsia="Times New Roman"/>
                <w:b/>
              </w:rPr>
            </w:pPr>
            <w:r>
              <w:rPr>
                <w:rFonts w:eastAsia="Times New Roman"/>
                <w:b/>
                <w:iCs w:val="0"/>
              </w:rPr>
              <w:t>2.144,405</w:t>
            </w:r>
          </w:p>
        </w:tc>
      </w:tr>
    </w:tbl>
    <w:p w:rsidR="00862CA2" w:rsidRDefault="00862CA2" w:rsidP="00862CA2">
      <w:pPr>
        <w:widowControl w:val="0"/>
        <w:jc w:val="center"/>
        <w:rPr>
          <w:rFonts w:eastAsia="Times New Roman"/>
          <w:b/>
        </w:rPr>
      </w:pPr>
    </w:p>
    <w:p w:rsidR="00862CA2" w:rsidRDefault="00862CA2" w:rsidP="00862CA2">
      <w:pPr>
        <w:widowControl w:val="0"/>
        <w:jc w:val="center"/>
        <w:rPr>
          <w:rFonts w:eastAsia="Times New Roman"/>
          <w:b/>
        </w:rPr>
      </w:pPr>
    </w:p>
    <w:p w:rsidR="00862CA2" w:rsidRDefault="00862CA2" w:rsidP="00862CA2">
      <w:pPr>
        <w:widowControl w:val="0"/>
        <w:jc w:val="center"/>
        <w:rPr>
          <w:rFonts w:eastAsia="Times New Roman"/>
          <w:b/>
        </w:rPr>
      </w:pPr>
    </w:p>
    <w:p w:rsidR="00862CA2" w:rsidRDefault="00862CA2" w:rsidP="00862CA2">
      <w:pPr>
        <w:widowControl w:val="0"/>
        <w:jc w:val="center"/>
        <w:rPr>
          <w:rFonts w:eastAsia="Times New Roman"/>
        </w:rPr>
      </w:pPr>
      <w:r>
        <w:rPr>
          <w:rFonts w:eastAsia="Times New Roman"/>
          <w:b/>
        </w:rPr>
        <w:t>Sofferenze bancarie (in miliardi)</w:t>
      </w:r>
    </w:p>
    <w:p w:rsidR="00862CA2" w:rsidRDefault="00862CA2" w:rsidP="00862CA2">
      <w:pPr>
        <w:widowControl w:val="0"/>
        <w:jc w:val="center"/>
        <w:rPr>
          <w:rFonts w:eastAsia="Times New Roman"/>
        </w:rPr>
      </w:pPr>
      <w:r>
        <w:rPr>
          <w:rFonts w:eastAsia="Times New Roman"/>
        </w:rPr>
        <w:t xml:space="preserve">Fonte </w:t>
      </w:r>
      <w:proofErr w:type="spellStart"/>
      <w:r>
        <w:rPr>
          <w:rFonts w:eastAsia="Times New Roman"/>
        </w:rPr>
        <w:t>Bankitalia</w:t>
      </w:r>
      <w:proofErr w:type="spellEnd"/>
      <w:r>
        <w:rPr>
          <w:rFonts w:eastAsia="Times New Roman"/>
        </w:rPr>
        <w:t xml:space="preserve">: </w:t>
      </w:r>
      <w:proofErr w:type="spellStart"/>
      <w:r>
        <w:rPr>
          <w:rFonts w:eastAsia="Times New Roman"/>
        </w:rPr>
        <w:t>Suppl</w:t>
      </w:r>
      <w:proofErr w:type="spellEnd"/>
      <w:r>
        <w:rPr>
          <w:rFonts w:eastAsia="Times New Roman"/>
        </w:rPr>
        <w:t xml:space="preserve">. Boll.no Statistico </w:t>
      </w:r>
    </w:p>
    <w:p w:rsidR="00862CA2" w:rsidRDefault="00862CA2" w:rsidP="00862CA2">
      <w:pPr>
        <w:widowControl w:val="0"/>
        <w:jc w:val="center"/>
        <w:rPr>
          <w:rFonts w:eastAsia="Times New Roman"/>
        </w:rPr>
      </w:pPr>
      <w:r>
        <w:rPr>
          <w:rFonts w:eastAsia="Times New Roman"/>
        </w:rPr>
        <w:t>“Moneta e banche” n° 40 dell’8-8-2013</w:t>
      </w:r>
    </w:p>
    <w:p w:rsidR="00862CA2" w:rsidRDefault="00862CA2" w:rsidP="00862CA2">
      <w:pPr>
        <w:widowControl w:val="0"/>
        <w:jc w:val="center"/>
        <w:rPr>
          <w:rFonts w:eastAsia="Times New Roman"/>
        </w:rPr>
      </w:pPr>
    </w:p>
    <w:tbl>
      <w:tblPr>
        <w:tblW w:w="5591" w:type="dxa"/>
        <w:jc w:val="center"/>
        <w:tblInd w:w="-1004"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3822"/>
        <w:gridCol w:w="1769"/>
      </w:tblGrid>
      <w:tr w:rsidR="00862CA2" w:rsidTr="00862CA2">
        <w:trPr>
          <w:jc w:val="center"/>
        </w:trPr>
        <w:tc>
          <w:tcPr>
            <w:tcW w:w="3822"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spacing w:before="100" w:beforeAutospacing="1" w:after="80" w:line="276" w:lineRule="auto"/>
              <w:jc w:val="center"/>
              <w:rPr>
                <w:rFonts w:eastAsia="Times New Roman"/>
                <w:bCs/>
                <w:iCs/>
                <w:kern w:val="36"/>
                <w:lang w:eastAsia="en-US"/>
              </w:rPr>
            </w:pPr>
            <w:r>
              <w:rPr>
                <w:rFonts w:eastAsia="Times New Roman" w:cstheme="minorBidi"/>
                <w:sz w:val="20"/>
                <w:szCs w:val="22"/>
                <w:lang w:eastAsia="en-US"/>
              </w:rPr>
              <w:br w:type="page"/>
            </w:r>
            <w:r>
              <w:rPr>
                <w:rFonts w:eastAsia="Times New Roman"/>
                <w:b/>
                <w:iCs/>
                <w:kern w:val="36"/>
                <w:sz w:val="20"/>
                <w:szCs w:val="22"/>
                <w:lang w:eastAsia="en-US"/>
              </w:rPr>
              <w:t> </w:t>
            </w:r>
          </w:p>
        </w:tc>
        <w:tc>
          <w:tcPr>
            <w:tcW w:w="1769"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spacing w:before="100" w:beforeAutospacing="1" w:after="80" w:line="276" w:lineRule="auto"/>
              <w:jc w:val="center"/>
              <w:rPr>
                <w:rFonts w:eastAsia="Times New Roman"/>
                <w:bCs/>
                <w:iCs/>
                <w:kern w:val="36"/>
                <w:lang w:eastAsia="en-US"/>
              </w:rPr>
            </w:pPr>
            <w:r>
              <w:rPr>
                <w:rFonts w:eastAsia="Times New Roman"/>
                <w:b/>
                <w:iCs/>
                <w:kern w:val="36"/>
                <w:sz w:val="20"/>
                <w:szCs w:val="22"/>
                <w:lang w:eastAsia="en-US"/>
              </w:rPr>
              <w:t>Giugno 2013</w:t>
            </w:r>
          </w:p>
        </w:tc>
      </w:tr>
      <w:tr w:rsidR="00862CA2" w:rsidTr="00862CA2">
        <w:trPr>
          <w:jc w:val="center"/>
        </w:trPr>
        <w:tc>
          <w:tcPr>
            <w:tcW w:w="382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tcPr>
          <w:p w:rsidR="00862CA2" w:rsidRDefault="00862CA2">
            <w:pPr>
              <w:spacing w:line="276" w:lineRule="auto"/>
              <w:rPr>
                <w:rFonts w:eastAsia="Times New Roman"/>
                <w:b/>
                <w:iCs/>
                <w:kern w:val="36"/>
                <w:sz w:val="20"/>
                <w:szCs w:val="22"/>
                <w:lang w:eastAsia="en-US"/>
              </w:rPr>
            </w:pPr>
          </w:p>
          <w:p w:rsidR="00862CA2" w:rsidRDefault="00862CA2">
            <w:pPr>
              <w:spacing w:before="100" w:beforeAutospacing="1" w:line="276" w:lineRule="auto"/>
              <w:rPr>
                <w:rFonts w:eastAsia="Times New Roman"/>
                <w:bCs/>
                <w:iCs/>
                <w:kern w:val="36"/>
                <w:lang w:eastAsia="en-US"/>
              </w:rPr>
            </w:pPr>
            <w:r>
              <w:rPr>
                <w:rFonts w:eastAsia="Times New Roman"/>
                <w:b/>
                <w:iCs/>
                <w:kern w:val="36"/>
                <w:sz w:val="20"/>
                <w:szCs w:val="22"/>
                <w:lang w:eastAsia="en-US"/>
              </w:rPr>
              <w:t>Totale sofferenze</w:t>
            </w:r>
          </w:p>
        </w:tc>
        <w:tc>
          <w:tcPr>
            <w:tcW w:w="1769" w:type="dxa"/>
            <w:tcBorders>
              <w:top w:val="single" w:sz="4" w:space="0" w:color="auto"/>
              <w:left w:val="single" w:sz="4" w:space="0" w:color="auto"/>
              <w:bottom w:val="single" w:sz="4" w:space="0" w:color="000000"/>
              <w:right w:val="single" w:sz="4" w:space="0" w:color="000000"/>
            </w:tcBorders>
            <w:vAlign w:val="bottom"/>
            <w:hideMark/>
          </w:tcPr>
          <w:p w:rsidR="00862CA2" w:rsidRDefault="00862CA2">
            <w:pPr>
              <w:spacing w:before="100" w:beforeAutospacing="1" w:after="80" w:line="276" w:lineRule="auto"/>
              <w:jc w:val="right"/>
              <w:rPr>
                <w:rFonts w:eastAsia="Times New Roman"/>
                <w:b/>
                <w:iCs/>
                <w:kern w:val="36"/>
                <w:lang w:eastAsia="en-US"/>
              </w:rPr>
            </w:pPr>
            <w:r>
              <w:rPr>
                <w:rFonts w:eastAsia="Times New Roman" w:cs="Arial"/>
                <w:b/>
                <w:iCs/>
                <w:kern w:val="36"/>
                <w:sz w:val="20"/>
                <w:szCs w:val="16"/>
                <w:lang w:eastAsia="en-US"/>
              </w:rPr>
              <w:t>138,043</w:t>
            </w:r>
          </w:p>
        </w:tc>
      </w:tr>
      <w:tr w:rsidR="00862CA2" w:rsidTr="00862CA2">
        <w:trPr>
          <w:jc w:val="center"/>
        </w:trPr>
        <w:tc>
          <w:tcPr>
            <w:tcW w:w="3822"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spacing w:before="100" w:beforeAutospacing="1" w:after="80" w:line="276" w:lineRule="auto"/>
              <w:rPr>
                <w:rFonts w:eastAsia="Times New Roman"/>
                <w:bCs/>
                <w:iCs/>
                <w:kern w:val="36"/>
                <w:lang w:eastAsia="en-US"/>
              </w:rPr>
            </w:pPr>
            <w:r>
              <w:rPr>
                <w:rFonts w:eastAsia="Times New Roman"/>
                <w:bCs/>
                <w:iCs/>
                <w:kern w:val="36"/>
                <w:sz w:val="20"/>
                <w:szCs w:val="22"/>
                <w:lang w:eastAsia="en-US"/>
              </w:rPr>
              <w:t xml:space="preserve">                                             di cui ….</w:t>
            </w:r>
          </w:p>
        </w:tc>
        <w:tc>
          <w:tcPr>
            <w:tcW w:w="1769" w:type="dxa"/>
            <w:tcBorders>
              <w:top w:val="single" w:sz="4" w:space="0" w:color="000000"/>
              <w:left w:val="single" w:sz="4" w:space="0" w:color="auto"/>
              <w:bottom w:val="single" w:sz="4" w:space="0" w:color="000000"/>
              <w:right w:val="single" w:sz="4" w:space="0" w:color="000000"/>
            </w:tcBorders>
            <w:hideMark/>
          </w:tcPr>
          <w:p w:rsidR="00862CA2" w:rsidRDefault="00862CA2">
            <w:pPr>
              <w:spacing w:before="100" w:beforeAutospacing="1" w:after="80" w:line="276" w:lineRule="auto"/>
              <w:jc w:val="right"/>
              <w:rPr>
                <w:rFonts w:eastAsia="Times New Roman"/>
                <w:bCs/>
                <w:iCs/>
                <w:kern w:val="36"/>
                <w:lang w:eastAsia="en-US"/>
              </w:rPr>
            </w:pPr>
            <w:r>
              <w:rPr>
                <w:rFonts w:eastAsia="Times New Roman" w:cs="Arial"/>
                <w:bCs/>
                <w:iCs/>
                <w:kern w:val="36"/>
                <w:sz w:val="20"/>
                <w:szCs w:val="16"/>
                <w:lang w:eastAsia="en-US"/>
              </w:rPr>
              <w:t> </w:t>
            </w:r>
          </w:p>
        </w:tc>
      </w:tr>
      <w:tr w:rsidR="00862CA2" w:rsidTr="00862CA2">
        <w:trPr>
          <w:jc w:val="center"/>
        </w:trPr>
        <w:tc>
          <w:tcPr>
            <w:tcW w:w="3822"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spacing w:before="100" w:beforeAutospacing="1" w:after="80" w:line="276" w:lineRule="auto"/>
              <w:rPr>
                <w:rFonts w:eastAsia="Times New Roman"/>
                <w:bCs/>
                <w:iCs/>
                <w:kern w:val="36"/>
                <w:lang w:eastAsia="en-US"/>
              </w:rPr>
            </w:pPr>
            <w:r>
              <w:rPr>
                <w:rFonts w:eastAsia="Times New Roman"/>
                <w:b/>
                <w:iCs/>
                <w:kern w:val="36"/>
                <w:sz w:val="20"/>
                <w:szCs w:val="22"/>
                <w:lang w:eastAsia="en-US"/>
              </w:rPr>
              <w:t>.. Società non finanziarie</w:t>
            </w:r>
          </w:p>
        </w:tc>
        <w:tc>
          <w:tcPr>
            <w:tcW w:w="1769" w:type="dxa"/>
            <w:tcBorders>
              <w:top w:val="single" w:sz="4" w:space="0" w:color="000000"/>
              <w:left w:val="single" w:sz="4" w:space="0" w:color="auto"/>
              <w:bottom w:val="single" w:sz="4" w:space="0" w:color="000000"/>
              <w:right w:val="single" w:sz="4" w:space="0" w:color="000000"/>
            </w:tcBorders>
            <w:hideMark/>
          </w:tcPr>
          <w:p w:rsidR="00862CA2" w:rsidRDefault="00862CA2">
            <w:pPr>
              <w:spacing w:before="100" w:beforeAutospacing="1" w:after="80" w:line="276" w:lineRule="auto"/>
              <w:jc w:val="right"/>
              <w:rPr>
                <w:rFonts w:eastAsia="Times New Roman"/>
                <w:bCs/>
                <w:iCs/>
                <w:kern w:val="36"/>
                <w:lang w:eastAsia="en-US"/>
              </w:rPr>
            </w:pPr>
            <w:r>
              <w:rPr>
                <w:rFonts w:eastAsia="Times New Roman" w:cs="Arial"/>
                <w:bCs/>
                <w:iCs/>
                <w:kern w:val="36"/>
                <w:sz w:val="20"/>
                <w:szCs w:val="16"/>
                <w:lang w:eastAsia="en-US"/>
              </w:rPr>
              <w:t>93,960</w:t>
            </w:r>
          </w:p>
        </w:tc>
      </w:tr>
      <w:tr w:rsidR="00862CA2" w:rsidTr="00862CA2">
        <w:trPr>
          <w:jc w:val="center"/>
        </w:trPr>
        <w:tc>
          <w:tcPr>
            <w:tcW w:w="3822"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spacing w:before="100" w:beforeAutospacing="1" w:after="80" w:line="276" w:lineRule="auto"/>
              <w:rPr>
                <w:rFonts w:eastAsia="Times New Roman"/>
                <w:bCs/>
                <w:iCs/>
                <w:kern w:val="36"/>
                <w:lang w:eastAsia="en-US"/>
              </w:rPr>
            </w:pPr>
            <w:r>
              <w:rPr>
                <w:rFonts w:eastAsia="Times New Roman"/>
                <w:b/>
                <w:iCs/>
                <w:kern w:val="36"/>
                <w:sz w:val="20"/>
                <w:szCs w:val="22"/>
                <w:lang w:eastAsia="en-US"/>
              </w:rPr>
              <w:t>.. Società finanziarie</w:t>
            </w:r>
          </w:p>
        </w:tc>
        <w:tc>
          <w:tcPr>
            <w:tcW w:w="1769" w:type="dxa"/>
            <w:tcBorders>
              <w:top w:val="single" w:sz="4" w:space="0" w:color="000000"/>
              <w:left w:val="single" w:sz="4" w:space="0" w:color="auto"/>
              <w:bottom w:val="single" w:sz="4" w:space="0" w:color="000000"/>
              <w:right w:val="single" w:sz="4" w:space="0" w:color="000000"/>
            </w:tcBorders>
            <w:hideMark/>
          </w:tcPr>
          <w:p w:rsidR="00862CA2" w:rsidRDefault="00862CA2">
            <w:pPr>
              <w:spacing w:before="100" w:beforeAutospacing="1" w:after="80" w:line="276" w:lineRule="auto"/>
              <w:jc w:val="right"/>
              <w:rPr>
                <w:rFonts w:eastAsia="Times New Roman"/>
                <w:bCs/>
                <w:iCs/>
                <w:kern w:val="36"/>
                <w:lang w:eastAsia="en-US"/>
              </w:rPr>
            </w:pPr>
            <w:r>
              <w:rPr>
                <w:rFonts w:eastAsia="Times New Roman" w:cs="Arial"/>
                <w:bCs/>
                <w:iCs/>
                <w:kern w:val="36"/>
                <w:sz w:val="20"/>
                <w:szCs w:val="16"/>
                <w:lang w:eastAsia="en-US"/>
              </w:rPr>
              <w:t>0,982</w:t>
            </w:r>
          </w:p>
        </w:tc>
      </w:tr>
      <w:tr w:rsidR="00862CA2" w:rsidTr="00862CA2">
        <w:trPr>
          <w:jc w:val="center"/>
        </w:trPr>
        <w:tc>
          <w:tcPr>
            <w:tcW w:w="3822"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spacing w:before="100" w:beforeAutospacing="1" w:after="80" w:line="276" w:lineRule="auto"/>
              <w:rPr>
                <w:rFonts w:eastAsia="Times New Roman"/>
                <w:bCs/>
                <w:iCs/>
                <w:kern w:val="36"/>
                <w:lang w:eastAsia="en-US"/>
              </w:rPr>
            </w:pPr>
            <w:r>
              <w:rPr>
                <w:rFonts w:eastAsia="Times New Roman"/>
                <w:b/>
                <w:iCs/>
                <w:kern w:val="36"/>
                <w:sz w:val="20"/>
                <w:szCs w:val="22"/>
                <w:lang w:eastAsia="en-US"/>
              </w:rPr>
              <w:t> </w:t>
            </w:r>
          </w:p>
        </w:tc>
        <w:tc>
          <w:tcPr>
            <w:tcW w:w="1769" w:type="dxa"/>
            <w:tcBorders>
              <w:top w:val="single" w:sz="4" w:space="0" w:color="000000"/>
              <w:left w:val="single" w:sz="4" w:space="0" w:color="auto"/>
              <w:bottom w:val="single" w:sz="4" w:space="0" w:color="000000"/>
              <w:right w:val="single" w:sz="4" w:space="0" w:color="000000"/>
            </w:tcBorders>
            <w:hideMark/>
          </w:tcPr>
          <w:p w:rsidR="00862CA2" w:rsidRDefault="00862CA2">
            <w:pPr>
              <w:spacing w:before="100" w:beforeAutospacing="1" w:after="80" w:line="276" w:lineRule="auto"/>
              <w:jc w:val="right"/>
              <w:rPr>
                <w:rFonts w:eastAsia="Times New Roman"/>
                <w:bCs/>
                <w:iCs/>
                <w:kern w:val="36"/>
                <w:lang w:eastAsia="en-US"/>
              </w:rPr>
            </w:pPr>
            <w:r>
              <w:rPr>
                <w:rFonts w:eastAsia="Times New Roman" w:cs="Arial"/>
                <w:bCs/>
                <w:iCs/>
                <w:kern w:val="36"/>
                <w:sz w:val="20"/>
                <w:szCs w:val="16"/>
                <w:lang w:eastAsia="en-US"/>
              </w:rPr>
              <w:t> </w:t>
            </w:r>
          </w:p>
        </w:tc>
      </w:tr>
      <w:tr w:rsidR="00862CA2" w:rsidTr="00862CA2">
        <w:trPr>
          <w:jc w:val="center"/>
        </w:trPr>
        <w:tc>
          <w:tcPr>
            <w:tcW w:w="3822"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spacing w:before="100" w:beforeAutospacing="1" w:after="80" w:line="276" w:lineRule="auto"/>
              <w:rPr>
                <w:rFonts w:eastAsia="Times New Roman"/>
                <w:bCs/>
                <w:iCs/>
                <w:kern w:val="36"/>
                <w:lang w:eastAsia="en-US"/>
              </w:rPr>
            </w:pPr>
            <w:r>
              <w:rPr>
                <w:rFonts w:eastAsia="Times New Roman"/>
                <w:b/>
                <w:iCs/>
                <w:kern w:val="36"/>
                <w:sz w:val="20"/>
                <w:szCs w:val="22"/>
                <w:lang w:eastAsia="en-US"/>
              </w:rPr>
              <w:t>.. Famiglie Consumatrici</w:t>
            </w:r>
          </w:p>
        </w:tc>
        <w:tc>
          <w:tcPr>
            <w:tcW w:w="1769" w:type="dxa"/>
            <w:tcBorders>
              <w:top w:val="single" w:sz="4" w:space="0" w:color="000000"/>
              <w:left w:val="single" w:sz="4" w:space="0" w:color="auto"/>
              <w:bottom w:val="single" w:sz="4" w:space="0" w:color="000000"/>
              <w:right w:val="single" w:sz="4" w:space="0" w:color="000000"/>
            </w:tcBorders>
            <w:hideMark/>
          </w:tcPr>
          <w:p w:rsidR="00862CA2" w:rsidRDefault="00862CA2">
            <w:pPr>
              <w:spacing w:before="100" w:beforeAutospacing="1" w:after="80" w:line="276" w:lineRule="auto"/>
              <w:jc w:val="right"/>
              <w:rPr>
                <w:rFonts w:eastAsia="Times New Roman"/>
                <w:bCs/>
                <w:iCs/>
                <w:kern w:val="36"/>
                <w:lang w:eastAsia="en-US"/>
              </w:rPr>
            </w:pPr>
            <w:r>
              <w:rPr>
                <w:rFonts w:eastAsia="Times New Roman" w:cs="Arial"/>
                <w:bCs/>
                <w:iCs/>
                <w:kern w:val="36"/>
                <w:sz w:val="20"/>
                <w:szCs w:val="16"/>
                <w:lang w:eastAsia="en-US"/>
              </w:rPr>
              <w:t>29,928</w:t>
            </w:r>
          </w:p>
        </w:tc>
      </w:tr>
      <w:tr w:rsidR="00862CA2" w:rsidTr="00862CA2">
        <w:trPr>
          <w:jc w:val="center"/>
        </w:trPr>
        <w:tc>
          <w:tcPr>
            <w:tcW w:w="3822"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spacing w:before="100" w:beforeAutospacing="1" w:after="80" w:line="276" w:lineRule="auto"/>
              <w:rPr>
                <w:rFonts w:eastAsia="Times New Roman"/>
                <w:bCs/>
                <w:iCs/>
                <w:kern w:val="36"/>
                <w:lang w:eastAsia="en-US"/>
              </w:rPr>
            </w:pPr>
            <w:r>
              <w:rPr>
                <w:rFonts w:eastAsia="Times New Roman"/>
                <w:b/>
                <w:iCs/>
                <w:kern w:val="36"/>
                <w:sz w:val="20"/>
                <w:szCs w:val="22"/>
                <w:lang w:eastAsia="en-US"/>
              </w:rPr>
              <w:t>.. Famiglie Produttrici</w:t>
            </w:r>
          </w:p>
        </w:tc>
        <w:tc>
          <w:tcPr>
            <w:tcW w:w="1769" w:type="dxa"/>
            <w:tcBorders>
              <w:top w:val="single" w:sz="4" w:space="0" w:color="000000"/>
              <w:left w:val="single" w:sz="4" w:space="0" w:color="auto"/>
              <w:bottom w:val="single" w:sz="4" w:space="0" w:color="000000"/>
              <w:right w:val="single" w:sz="4" w:space="0" w:color="000000"/>
            </w:tcBorders>
            <w:hideMark/>
          </w:tcPr>
          <w:p w:rsidR="00862CA2" w:rsidRDefault="00862CA2">
            <w:pPr>
              <w:spacing w:before="100" w:beforeAutospacing="1" w:after="80" w:line="276" w:lineRule="auto"/>
              <w:jc w:val="right"/>
              <w:rPr>
                <w:rFonts w:eastAsia="Times New Roman"/>
                <w:bCs/>
                <w:iCs/>
                <w:kern w:val="36"/>
                <w:lang w:eastAsia="en-US"/>
              </w:rPr>
            </w:pPr>
            <w:r>
              <w:rPr>
                <w:rFonts w:eastAsia="Times New Roman" w:cs="Arial"/>
                <w:bCs/>
                <w:iCs/>
                <w:kern w:val="36"/>
                <w:sz w:val="20"/>
                <w:szCs w:val="16"/>
                <w:lang w:eastAsia="en-US"/>
              </w:rPr>
              <w:t>12,307</w:t>
            </w:r>
          </w:p>
        </w:tc>
      </w:tr>
      <w:tr w:rsidR="00862CA2" w:rsidTr="00862CA2">
        <w:trPr>
          <w:jc w:val="center"/>
        </w:trPr>
        <w:tc>
          <w:tcPr>
            <w:tcW w:w="3822"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spacing w:before="100" w:beforeAutospacing="1" w:after="80" w:line="276" w:lineRule="auto"/>
              <w:rPr>
                <w:rFonts w:eastAsia="Times New Roman"/>
                <w:bCs/>
                <w:iCs/>
                <w:kern w:val="36"/>
                <w:lang w:eastAsia="en-US"/>
              </w:rPr>
            </w:pPr>
            <w:r>
              <w:rPr>
                <w:rFonts w:eastAsia="Times New Roman"/>
                <w:b/>
                <w:iCs/>
                <w:kern w:val="36"/>
                <w:sz w:val="20"/>
                <w:szCs w:val="22"/>
                <w:lang w:eastAsia="en-US"/>
              </w:rPr>
              <w:t> </w:t>
            </w:r>
          </w:p>
        </w:tc>
        <w:tc>
          <w:tcPr>
            <w:tcW w:w="1769" w:type="dxa"/>
            <w:tcBorders>
              <w:top w:val="single" w:sz="4" w:space="0" w:color="000000"/>
              <w:left w:val="single" w:sz="4" w:space="0" w:color="auto"/>
              <w:bottom w:val="single" w:sz="4" w:space="0" w:color="000000"/>
              <w:right w:val="single" w:sz="4" w:space="0" w:color="000000"/>
            </w:tcBorders>
            <w:hideMark/>
          </w:tcPr>
          <w:p w:rsidR="00862CA2" w:rsidRDefault="00862CA2">
            <w:pPr>
              <w:spacing w:before="100" w:beforeAutospacing="1" w:after="80" w:line="276" w:lineRule="auto"/>
              <w:jc w:val="right"/>
              <w:rPr>
                <w:rFonts w:eastAsia="Times New Roman"/>
                <w:bCs/>
                <w:iCs/>
                <w:kern w:val="36"/>
                <w:lang w:eastAsia="en-US"/>
              </w:rPr>
            </w:pPr>
            <w:r>
              <w:rPr>
                <w:rFonts w:eastAsia="Times New Roman" w:cs="Arial"/>
                <w:bCs/>
                <w:iCs/>
                <w:kern w:val="36"/>
                <w:sz w:val="20"/>
                <w:szCs w:val="16"/>
                <w:lang w:eastAsia="en-US"/>
              </w:rPr>
              <w:t> </w:t>
            </w:r>
          </w:p>
        </w:tc>
      </w:tr>
      <w:tr w:rsidR="00862CA2" w:rsidTr="00862CA2">
        <w:trPr>
          <w:jc w:val="center"/>
        </w:trPr>
        <w:tc>
          <w:tcPr>
            <w:tcW w:w="3822"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spacing w:before="100" w:beforeAutospacing="1" w:after="80" w:line="276" w:lineRule="auto"/>
              <w:rPr>
                <w:rFonts w:eastAsia="Times New Roman"/>
                <w:bCs/>
                <w:iCs/>
                <w:kern w:val="36"/>
                <w:lang w:eastAsia="en-US"/>
              </w:rPr>
            </w:pPr>
            <w:r>
              <w:rPr>
                <w:rFonts w:eastAsia="Times New Roman"/>
                <w:b/>
                <w:iCs/>
                <w:kern w:val="36"/>
                <w:sz w:val="20"/>
                <w:szCs w:val="22"/>
                <w:lang w:eastAsia="en-US"/>
              </w:rPr>
              <w:t>.. Amm.ni pubbliche</w:t>
            </w:r>
          </w:p>
        </w:tc>
        <w:tc>
          <w:tcPr>
            <w:tcW w:w="1769" w:type="dxa"/>
            <w:tcBorders>
              <w:top w:val="single" w:sz="4" w:space="0" w:color="000000"/>
              <w:left w:val="single" w:sz="4" w:space="0" w:color="auto"/>
              <w:bottom w:val="single" w:sz="4" w:space="0" w:color="000000"/>
              <w:right w:val="single" w:sz="4" w:space="0" w:color="000000"/>
            </w:tcBorders>
            <w:hideMark/>
          </w:tcPr>
          <w:p w:rsidR="00862CA2" w:rsidRDefault="00862CA2">
            <w:pPr>
              <w:spacing w:before="100" w:beforeAutospacing="1" w:after="80" w:line="276" w:lineRule="auto"/>
              <w:jc w:val="right"/>
              <w:rPr>
                <w:rFonts w:eastAsia="Times New Roman"/>
                <w:bCs/>
                <w:iCs/>
                <w:kern w:val="36"/>
                <w:lang w:eastAsia="en-US"/>
              </w:rPr>
            </w:pPr>
            <w:r>
              <w:rPr>
                <w:rFonts w:eastAsia="Times New Roman" w:cs="Arial"/>
                <w:bCs/>
                <w:iCs/>
                <w:kern w:val="36"/>
                <w:sz w:val="20"/>
                <w:szCs w:val="16"/>
                <w:lang w:eastAsia="en-US"/>
              </w:rPr>
              <w:t>0,305</w:t>
            </w:r>
          </w:p>
        </w:tc>
      </w:tr>
      <w:tr w:rsidR="00862CA2" w:rsidTr="00862CA2">
        <w:trPr>
          <w:jc w:val="center"/>
        </w:trPr>
        <w:tc>
          <w:tcPr>
            <w:tcW w:w="3822"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spacing w:before="100" w:beforeAutospacing="1" w:after="80" w:line="276" w:lineRule="auto"/>
              <w:rPr>
                <w:rFonts w:eastAsia="Times New Roman"/>
                <w:bCs/>
                <w:iCs/>
                <w:kern w:val="36"/>
                <w:lang w:eastAsia="en-US"/>
              </w:rPr>
            </w:pPr>
            <w:r>
              <w:rPr>
                <w:rFonts w:eastAsia="Times New Roman"/>
                <w:b/>
                <w:iCs/>
                <w:kern w:val="36"/>
                <w:sz w:val="20"/>
                <w:szCs w:val="22"/>
                <w:lang w:eastAsia="en-US"/>
              </w:rPr>
              <w:t> </w:t>
            </w:r>
          </w:p>
        </w:tc>
        <w:tc>
          <w:tcPr>
            <w:tcW w:w="1769" w:type="dxa"/>
            <w:tcBorders>
              <w:top w:val="single" w:sz="4" w:space="0" w:color="000000"/>
              <w:left w:val="single" w:sz="4" w:space="0" w:color="auto"/>
              <w:bottom w:val="single" w:sz="4" w:space="0" w:color="000000"/>
              <w:right w:val="single" w:sz="4" w:space="0" w:color="000000"/>
            </w:tcBorders>
            <w:hideMark/>
          </w:tcPr>
          <w:p w:rsidR="00862CA2" w:rsidRDefault="00862CA2">
            <w:pPr>
              <w:spacing w:before="100" w:beforeAutospacing="1" w:after="80" w:line="276" w:lineRule="auto"/>
              <w:jc w:val="right"/>
              <w:rPr>
                <w:rFonts w:eastAsia="Times New Roman"/>
                <w:bCs/>
                <w:iCs/>
                <w:kern w:val="36"/>
                <w:lang w:eastAsia="en-US"/>
              </w:rPr>
            </w:pPr>
            <w:r>
              <w:rPr>
                <w:rFonts w:eastAsia="Times New Roman" w:cs="Arial"/>
                <w:bCs/>
                <w:iCs/>
                <w:kern w:val="36"/>
                <w:sz w:val="20"/>
                <w:szCs w:val="16"/>
                <w:lang w:eastAsia="en-US"/>
              </w:rPr>
              <w:t> </w:t>
            </w:r>
          </w:p>
        </w:tc>
      </w:tr>
      <w:tr w:rsidR="00862CA2" w:rsidTr="00862CA2">
        <w:trPr>
          <w:jc w:val="center"/>
        </w:trPr>
        <w:tc>
          <w:tcPr>
            <w:tcW w:w="3822"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rsidR="00862CA2" w:rsidRDefault="00862CA2">
            <w:pPr>
              <w:spacing w:before="100" w:beforeAutospacing="1" w:after="80" w:line="276" w:lineRule="auto"/>
              <w:rPr>
                <w:rFonts w:eastAsia="Times New Roman"/>
                <w:bCs/>
                <w:iCs/>
                <w:kern w:val="36"/>
                <w:lang w:eastAsia="en-US"/>
              </w:rPr>
            </w:pPr>
            <w:r>
              <w:rPr>
                <w:rFonts w:eastAsia="Times New Roman"/>
                <w:b/>
                <w:iCs/>
                <w:kern w:val="36"/>
                <w:sz w:val="20"/>
                <w:szCs w:val="22"/>
                <w:lang w:eastAsia="en-US"/>
              </w:rPr>
              <w:t xml:space="preserve">.. </w:t>
            </w:r>
            <w:proofErr w:type="spellStart"/>
            <w:r>
              <w:rPr>
                <w:rFonts w:eastAsia="Times New Roman"/>
                <w:b/>
                <w:iCs/>
                <w:kern w:val="36"/>
                <w:sz w:val="20"/>
                <w:szCs w:val="22"/>
                <w:lang w:eastAsia="en-US"/>
              </w:rPr>
              <w:t>Soc</w:t>
            </w:r>
            <w:proofErr w:type="spellEnd"/>
            <w:r>
              <w:rPr>
                <w:rFonts w:eastAsia="Times New Roman"/>
                <w:b/>
                <w:iCs/>
                <w:kern w:val="36"/>
                <w:sz w:val="20"/>
                <w:szCs w:val="22"/>
                <w:lang w:eastAsia="en-US"/>
              </w:rPr>
              <w:t>. senza fini di lucro</w:t>
            </w:r>
          </w:p>
        </w:tc>
        <w:tc>
          <w:tcPr>
            <w:tcW w:w="1769" w:type="dxa"/>
            <w:tcBorders>
              <w:top w:val="single" w:sz="4" w:space="0" w:color="000000"/>
              <w:left w:val="single" w:sz="4" w:space="0" w:color="auto"/>
              <w:bottom w:val="single" w:sz="4" w:space="0" w:color="000000"/>
              <w:right w:val="single" w:sz="4" w:space="0" w:color="000000"/>
            </w:tcBorders>
            <w:hideMark/>
          </w:tcPr>
          <w:p w:rsidR="00862CA2" w:rsidRDefault="00862CA2">
            <w:pPr>
              <w:spacing w:before="100" w:beforeAutospacing="1" w:after="80" w:line="276" w:lineRule="auto"/>
              <w:jc w:val="right"/>
              <w:rPr>
                <w:rFonts w:eastAsia="Times New Roman"/>
                <w:bCs/>
                <w:iCs/>
                <w:kern w:val="36"/>
                <w:lang w:eastAsia="en-US"/>
              </w:rPr>
            </w:pPr>
            <w:r>
              <w:rPr>
                <w:rFonts w:eastAsia="Times New Roman" w:cs="Arial"/>
                <w:bCs/>
                <w:iCs/>
                <w:kern w:val="36"/>
                <w:sz w:val="20"/>
                <w:szCs w:val="16"/>
                <w:lang w:eastAsia="en-US"/>
              </w:rPr>
              <w:t>0,559</w:t>
            </w:r>
          </w:p>
        </w:tc>
      </w:tr>
    </w:tbl>
    <w:p w:rsidR="00862CA2" w:rsidRDefault="00862CA2" w:rsidP="00862CA2">
      <w:pPr>
        <w:rPr>
          <w:rFonts w:ascii="Century Gothic" w:hAnsi="Century Gothic"/>
        </w:rPr>
      </w:pPr>
    </w:p>
    <w:p w:rsidR="00862CA2" w:rsidRDefault="00862CA2" w:rsidP="00333C06">
      <w:pPr>
        <w:pStyle w:val="Nessunaspaziatura"/>
        <w:jc w:val="both"/>
      </w:pPr>
    </w:p>
    <w:p w:rsidR="00862CA2" w:rsidRDefault="00862CA2" w:rsidP="00333C06">
      <w:pPr>
        <w:pStyle w:val="Nessunaspaziatura"/>
        <w:jc w:val="both"/>
      </w:pPr>
    </w:p>
    <w:sectPr w:rsidR="00862CA2" w:rsidSect="00862CA2">
      <w:pgSz w:w="11906" w:h="16838"/>
      <w:pgMar w:top="1276"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8AF"/>
    <w:rsid w:val="002E1F8D"/>
    <w:rsid w:val="00333C06"/>
    <w:rsid w:val="006778AF"/>
    <w:rsid w:val="00746363"/>
    <w:rsid w:val="0076740E"/>
    <w:rsid w:val="00862CA2"/>
    <w:rsid w:val="008C605C"/>
    <w:rsid w:val="008F6714"/>
    <w:rsid w:val="00971E29"/>
    <w:rsid w:val="00CB1E1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778AF"/>
    <w:pPr>
      <w:spacing w:after="0" w:line="240" w:lineRule="auto"/>
    </w:pPr>
    <w:rPr>
      <w:rFonts w:ascii="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6778AF"/>
    <w:pPr>
      <w:spacing w:after="0" w:line="240" w:lineRule="auto"/>
    </w:pPr>
    <w:rPr>
      <w:rFonts w:ascii="Times New Roman" w:hAnsi="Times New Roman" w:cs="Times New Roman"/>
      <w:sz w:val="24"/>
      <w:szCs w:val="24"/>
      <w:lang w:eastAsia="it-IT"/>
    </w:rPr>
  </w:style>
  <w:style w:type="table" w:styleId="Grigliatabella">
    <w:name w:val="Table Grid"/>
    <w:basedOn w:val="Tabellanormale"/>
    <w:uiPriority w:val="59"/>
    <w:rsid w:val="00862CA2"/>
    <w:pPr>
      <w:spacing w:after="0"/>
      <w:ind w:left="23"/>
      <w:jc w:val="both"/>
    </w:pPr>
    <w:rPr>
      <w:rFonts w:ascii="Times New Roman" w:hAnsi="Times New Roman" w:cs="Times New Roman"/>
      <w:bCs/>
      <w:iCs/>
      <w:kern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778AF"/>
    <w:pPr>
      <w:spacing w:after="0" w:line="240" w:lineRule="auto"/>
    </w:pPr>
    <w:rPr>
      <w:rFonts w:ascii="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6778AF"/>
    <w:pPr>
      <w:spacing w:after="0" w:line="240" w:lineRule="auto"/>
    </w:pPr>
    <w:rPr>
      <w:rFonts w:ascii="Times New Roman" w:hAnsi="Times New Roman" w:cs="Times New Roman"/>
      <w:sz w:val="24"/>
      <w:szCs w:val="24"/>
      <w:lang w:eastAsia="it-IT"/>
    </w:rPr>
  </w:style>
  <w:style w:type="table" w:styleId="Grigliatabella">
    <w:name w:val="Table Grid"/>
    <w:basedOn w:val="Tabellanormale"/>
    <w:uiPriority w:val="59"/>
    <w:rsid w:val="00862CA2"/>
    <w:pPr>
      <w:spacing w:after="0"/>
      <w:ind w:left="23"/>
      <w:jc w:val="both"/>
    </w:pPr>
    <w:rPr>
      <w:rFonts w:ascii="Times New Roman" w:hAnsi="Times New Roman" w:cs="Times New Roman"/>
      <w:bCs/>
      <w:iCs/>
      <w:kern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845768">
      <w:bodyDiv w:val="1"/>
      <w:marLeft w:val="0"/>
      <w:marRight w:val="0"/>
      <w:marTop w:val="0"/>
      <w:marBottom w:val="0"/>
      <w:divBdr>
        <w:top w:val="none" w:sz="0" w:space="0" w:color="auto"/>
        <w:left w:val="none" w:sz="0" w:space="0" w:color="auto"/>
        <w:bottom w:val="none" w:sz="0" w:space="0" w:color="auto"/>
        <w:right w:val="none" w:sz="0" w:space="0" w:color="auto"/>
      </w:divBdr>
    </w:div>
    <w:div w:id="1970042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785</Words>
  <Characters>4478</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Elio</dc:creator>
  <cp:lastModifiedBy>Elio</cp:lastModifiedBy>
  <cp:revision>2</cp:revision>
  <dcterms:created xsi:type="dcterms:W3CDTF">2013-08-28T15:26:00Z</dcterms:created>
  <dcterms:modified xsi:type="dcterms:W3CDTF">2013-08-28T15:26:00Z</dcterms:modified>
</cp:coreProperties>
</file>