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E5D" w:rsidRDefault="00F06E5D" w:rsidP="00F06E5D">
      <w:pPr>
        <w:tabs>
          <w:tab w:val="center" w:pos="11280"/>
        </w:tabs>
        <w:ind w:right="-1"/>
        <w:jc w:val="center"/>
        <w:rPr>
          <w:sz w:val="26"/>
          <w:szCs w:val="26"/>
        </w:rPr>
      </w:pPr>
      <w:r>
        <w:rPr>
          <w:sz w:val="26"/>
          <w:szCs w:val="26"/>
        </w:rPr>
        <w:t>COMUNICATO STAMPA</w:t>
      </w:r>
    </w:p>
    <w:p w:rsidR="00F06E5D" w:rsidRDefault="00F06E5D" w:rsidP="00F06E5D">
      <w:pPr>
        <w:tabs>
          <w:tab w:val="center" w:pos="11280"/>
        </w:tabs>
        <w:ind w:right="-1"/>
        <w:jc w:val="center"/>
        <w:rPr>
          <w:sz w:val="26"/>
          <w:szCs w:val="26"/>
        </w:rPr>
      </w:pPr>
    </w:p>
    <w:p w:rsidR="00F06E5D" w:rsidRPr="00F06E5D" w:rsidRDefault="00F06E5D" w:rsidP="00F06E5D">
      <w:pPr>
        <w:tabs>
          <w:tab w:val="center" w:pos="11280"/>
        </w:tabs>
        <w:ind w:right="-1"/>
        <w:jc w:val="center"/>
        <w:rPr>
          <w:sz w:val="26"/>
          <w:szCs w:val="26"/>
        </w:rPr>
      </w:pPr>
      <w:r w:rsidRPr="00F06E5D">
        <w:rPr>
          <w:sz w:val="26"/>
          <w:szCs w:val="26"/>
        </w:rPr>
        <w:t>MUTUI E PRESTITI: ITALIA MAGLIA NERA D’EUROPA ! PER MUTUO DA 100.000 EURO A 30 ANNI, CONSUMATORI ITALIANI PAGANO 23.760 EURO IN PIU’ RISPETTO UE.</w:t>
      </w:r>
    </w:p>
    <w:p w:rsidR="00F06E5D" w:rsidRDefault="00F06E5D" w:rsidP="00F06E5D">
      <w:pPr>
        <w:ind w:right="-1"/>
        <w:jc w:val="both"/>
        <w:rPr>
          <w:sz w:val="24"/>
        </w:rPr>
      </w:pPr>
    </w:p>
    <w:p w:rsidR="00F06E5D" w:rsidRDefault="00F06E5D" w:rsidP="00F06E5D">
      <w:pPr>
        <w:ind w:right="-1"/>
        <w:jc w:val="both"/>
        <w:rPr>
          <w:sz w:val="24"/>
        </w:rPr>
      </w:pPr>
      <w:r>
        <w:rPr>
          <w:sz w:val="24"/>
        </w:rPr>
        <w:t xml:space="preserve">    </w:t>
      </w:r>
      <w:r>
        <w:rPr>
          <w:sz w:val="24"/>
        </w:rPr>
        <w:t xml:space="preserve">Dopo il leggero calo di dicembre 2012 rispetto alla precedente rilevazione, torna a crescere il differenziale di tasso tra prestiti offerti in Italia e quelli offerti in </w:t>
      </w:r>
      <w:proofErr w:type="spellStart"/>
      <w:r>
        <w:rPr>
          <w:sz w:val="24"/>
        </w:rPr>
        <w:t>Eurolandia</w:t>
      </w:r>
      <w:proofErr w:type="spellEnd"/>
      <w:r>
        <w:rPr>
          <w:sz w:val="24"/>
        </w:rPr>
        <w:t>, mentre cala leggermente quello sui mutui</w:t>
      </w:r>
      <w:r>
        <w:rPr>
          <w:sz w:val="24"/>
        </w:rPr>
        <w:t>.</w:t>
      </w:r>
      <w:r>
        <w:rPr>
          <w:sz w:val="24"/>
        </w:rPr>
        <w:t xml:space="preserve"> I dati forniti da </w:t>
      </w:r>
      <w:proofErr w:type="spellStart"/>
      <w:r>
        <w:rPr>
          <w:sz w:val="24"/>
        </w:rPr>
        <w:t>Bankitalia</w:t>
      </w:r>
      <w:proofErr w:type="spellEnd"/>
      <w:r>
        <w:rPr>
          <w:sz w:val="24"/>
        </w:rPr>
        <w:t xml:space="preserve"> e BCE sono aggiornati a maggio 2013. Per i mutui, il differenziale è infatti passato da 119 punti base di dicembre 2012, a 114 di maggio 2013. Per i prestiti il differenziale è salito da 152 </w:t>
      </w:r>
      <w:proofErr w:type="spellStart"/>
      <w:r>
        <w:rPr>
          <w:sz w:val="24"/>
        </w:rPr>
        <w:t>p.b</w:t>
      </w:r>
      <w:proofErr w:type="spellEnd"/>
      <w:r>
        <w:rPr>
          <w:sz w:val="24"/>
        </w:rPr>
        <w:t>. di dicembre ai 163 di maggio 2013.</w:t>
      </w:r>
    </w:p>
    <w:p w:rsidR="00F06E5D" w:rsidRDefault="00F06E5D" w:rsidP="00F06E5D">
      <w:pPr>
        <w:ind w:left="709" w:right="742"/>
        <w:jc w:val="both"/>
        <w:rPr>
          <w:sz w:val="24"/>
        </w:rPr>
      </w:pPr>
    </w:p>
    <w:p w:rsidR="00F06E5D" w:rsidRDefault="00F06E5D" w:rsidP="00F06E5D">
      <w:pPr>
        <w:tabs>
          <w:tab w:val="center" w:pos="11280"/>
        </w:tabs>
        <w:ind w:right="-1"/>
        <w:jc w:val="center"/>
      </w:pPr>
      <w:r>
        <w:rPr>
          <w:b/>
        </w:rPr>
        <w:t>DIFFERENZIALE TASSI MEDI BANCARI A FAMIGLIE IN AREA EURO E IN ITALIA (nuove operazioni)</w:t>
      </w:r>
      <w:r>
        <w:br/>
      </w:r>
      <w:r>
        <w:rPr>
          <w:b/>
        </w:rPr>
        <w:t>SU CREDITO AL CONSUMO</w:t>
      </w:r>
      <w:r>
        <w:t xml:space="preserve"> (da 1 a 5 anni) e  MUTUI (oltre 10 anni) (Valori percentuali)</w:t>
      </w:r>
      <w:r>
        <w:br/>
        <w:t xml:space="preserve">Fonte BCE (7-2013 pag. S42) e </w:t>
      </w:r>
      <w:proofErr w:type="spellStart"/>
      <w:r>
        <w:t>Suppl.Boll.Bankitalia</w:t>
      </w:r>
      <w:proofErr w:type="spellEnd"/>
      <w:r>
        <w:t xml:space="preserve"> (Moneta e banche) n° 33 10-7-2013 pag. 40.</w:t>
      </w:r>
    </w:p>
    <w:p w:rsidR="00F06E5D" w:rsidRDefault="00F06E5D" w:rsidP="00F06E5D">
      <w:pPr>
        <w:tabs>
          <w:tab w:val="center" w:pos="11280"/>
        </w:tabs>
        <w:ind w:right="-1"/>
        <w:jc w:val="center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2410"/>
        <w:gridCol w:w="1559"/>
        <w:gridCol w:w="1418"/>
        <w:gridCol w:w="2658"/>
      </w:tblGrid>
      <w:tr w:rsidR="00F06E5D" w:rsidTr="00F06E5D">
        <w:trPr>
          <w:trHeight w:val="377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line="276" w:lineRule="auto"/>
              <w:jc w:val="both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hideMark/>
          </w:tcPr>
          <w:p w:rsidR="00F06E5D" w:rsidRDefault="00F06E5D">
            <w:pPr>
              <w:spacing w:line="276" w:lineRule="auto"/>
              <w:jc w:val="both"/>
              <w:rPr>
                <w:rFonts w:ascii="Century Gothic" w:eastAsia="Calibri" w:hAnsi="Century Gothic" w:cs="Times New Roman"/>
                <w:bCs/>
                <w:iCs/>
                <w:kern w:val="3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hideMark/>
          </w:tcPr>
          <w:p w:rsidR="00F06E5D" w:rsidRDefault="00F06E5D">
            <w:pPr>
              <w:spacing w:line="276" w:lineRule="auto"/>
              <w:jc w:val="center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Tassi applicati in Italia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hideMark/>
          </w:tcPr>
          <w:p w:rsidR="00F06E5D" w:rsidRDefault="00F06E5D">
            <w:pPr>
              <w:spacing w:line="276" w:lineRule="auto"/>
              <w:jc w:val="center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 xml:space="preserve">Tassi </w:t>
            </w:r>
            <w:proofErr w:type="spellStart"/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appl.ti</w:t>
            </w:r>
            <w:proofErr w:type="spellEnd"/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 xml:space="preserve"> in </w:t>
            </w:r>
          </w:p>
          <w:p w:rsidR="00F06E5D" w:rsidRDefault="00F06E5D">
            <w:pPr>
              <w:spacing w:line="276" w:lineRule="auto"/>
              <w:jc w:val="center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Area euro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DAEEF3"/>
            <w:hideMark/>
          </w:tcPr>
          <w:p w:rsidR="00F06E5D" w:rsidRDefault="00F06E5D">
            <w:pPr>
              <w:spacing w:line="276" w:lineRule="auto"/>
              <w:jc w:val="center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 xml:space="preserve">Differenziale </w:t>
            </w:r>
          </w:p>
          <w:p w:rsidR="00F06E5D" w:rsidRDefault="00F06E5D">
            <w:pPr>
              <w:spacing w:line="276" w:lineRule="auto"/>
              <w:jc w:val="center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Italia-</w:t>
            </w:r>
            <w:proofErr w:type="spellStart"/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Eurolandia</w:t>
            </w:r>
            <w:proofErr w:type="spellEnd"/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 xml:space="preserve"> espresso in punti base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both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Gennaio 2010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Credito al consumo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8,39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6,43</w:t>
            </w:r>
          </w:p>
        </w:tc>
        <w:tc>
          <w:tcPr>
            <w:tcW w:w="265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+ 196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line="276" w:lineRule="auto"/>
              <w:jc w:val="both"/>
              <w:rPr>
                <w:rFonts w:ascii="Century Gothic" w:eastAsia="Calibri" w:hAnsi="Century Gothic" w:cs="Times New Roman"/>
                <w:bCs/>
                <w:iCs/>
                <w:kern w:val="3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Mutui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4,92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4,26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+ 66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both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Luglio 2010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Credito al consumo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7,01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6,21</w:t>
            </w:r>
          </w:p>
        </w:tc>
        <w:tc>
          <w:tcPr>
            <w:tcW w:w="265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+ 80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line="276" w:lineRule="auto"/>
              <w:jc w:val="both"/>
              <w:rPr>
                <w:rFonts w:ascii="Century Gothic" w:eastAsia="Calibri" w:hAnsi="Century Gothic" w:cs="Times New Roman"/>
                <w:bCs/>
                <w:iCs/>
                <w:kern w:val="3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Mutui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4,40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3,84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+ 56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both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Gennaio 2011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Credito al consumo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6,99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6,13</w:t>
            </w:r>
          </w:p>
        </w:tc>
        <w:tc>
          <w:tcPr>
            <w:tcW w:w="265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+ 86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line="276" w:lineRule="auto"/>
              <w:jc w:val="both"/>
              <w:rPr>
                <w:rFonts w:ascii="Century Gothic" w:eastAsia="Calibri" w:hAnsi="Century Gothic" w:cs="Times New Roman"/>
                <w:bCs/>
                <w:iCs/>
                <w:kern w:val="3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Mutui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4,22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3,86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+ 36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both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Luglio 2011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Credito al consumo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7,64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6,53</w:t>
            </w:r>
          </w:p>
        </w:tc>
        <w:tc>
          <w:tcPr>
            <w:tcW w:w="265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+ 111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line="276" w:lineRule="auto"/>
              <w:jc w:val="both"/>
              <w:rPr>
                <w:rFonts w:ascii="Century Gothic" w:eastAsia="Calibri" w:hAnsi="Century Gothic" w:cs="Times New Roman"/>
                <w:bCs/>
                <w:iCs/>
                <w:kern w:val="36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Mutui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4,78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4,19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+ 59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both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Febbraio 2012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Credito al consumo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7,99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6,58</w:t>
            </w:r>
          </w:p>
        </w:tc>
        <w:tc>
          <w:tcPr>
            <w:tcW w:w="265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 xml:space="preserve">+ 141 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both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 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Mutui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5,15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3,95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 xml:space="preserve">+ 120 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both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Luglio 2012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Credito al consumo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8,08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6,26</w:t>
            </w:r>
          </w:p>
        </w:tc>
        <w:tc>
          <w:tcPr>
            <w:tcW w:w="265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 xml:space="preserve">+ 182 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both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Mutui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4,86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3,62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 xml:space="preserve">+ 124 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line="276" w:lineRule="auto"/>
              <w:jc w:val="both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Dicembre 2012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Credito al consumo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7,56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6,04</w:t>
            </w:r>
          </w:p>
        </w:tc>
        <w:tc>
          <w:tcPr>
            <w:tcW w:w="2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+ 152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C2D69B"/>
            <w:vAlign w:val="center"/>
          </w:tcPr>
          <w:p w:rsidR="00F06E5D" w:rsidRDefault="00F06E5D">
            <w:pPr>
              <w:spacing w:line="276" w:lineRule="auto"/>
              <w:jc w:val="both"/>
              <w:rPr>
                <w:rFonts w:ascii="Century Gothic" w:hAnsi="Century Gothic"/>
                <w:b/>
                <w:iCs/>
                <w:kern w:val="36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Cs/>
                <w:iCs/>
                <w:kern w:val="36"/>
                <w:sz w:val="20"/>
                <w:lang w:eastAsia="it-IT"/>
              </w:rPr>
              <w:t>Mutui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FFFFF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4,64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3,45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hideMark/>
          </w:tcPr>
          <w:p w:rsidR="00F06E5D" w:rsidRDefault="00F06E5D">
            <w:pPr>
              <w:spacing w:before="100" w:beforeAutospacing="1" w:after="100" w:afterAutospacing="1" w:line="276" w:lineRule="auto"/>
              <w:ind w:right="272"/>
              <w:jc w:val="right"/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</w:pPr>
            <w:r>
              <w:rPr>
                <w:rFonts w:ascii="Century Gothic" w:eastAsia="Times New Roman" w:hAnsi="Century Gothic" w:cs="Times New Roman"/>
                <w:b/>
                <w:iCs/>
                <w:kern w:val="36"/>
                <w:sz w:val="20"/>
                <w:lang w:eastAsia="it-IT"/>
              </w:rPr>
              <w:t>+ 119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F06E5D" w:rsidRDefault="00F06E5D">
            <w:pPr>
              <w:spacing w:line="276" w:lineRule="auto"/>
              <w:jc w:val="both"/>
              <w:rPr>
                <w:rFonts w:ascii="Century Gothic" w:hAnsi="Century Gothic"/>
                <w:b/>
                <w:iCs/>
                <w:kern w:val="36"/>
                <w:sz w:val="20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F06E5D" w:rsidRDefault="00F06E5D">
            <w:pPr>
              <w:spacing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E5D" w:rsidRDefault="00F06E5D">
            <w:pPr>
              <w:spacing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E5D" w:rsidRDefault="00F06E5D">
            <w:pPr>
              <w:spacing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  <w:tc>
          <w:tcPr>
            <w:tcW w:w="26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E5D" w:rsidRDefault="00F06E5D">
            <w:pPr>
              <w:spacing w:line="276" w:lineRule="auto"/>
              <w:ind w:right="272"/>
              <w:jc w:val="right"/>
              <w:rPr>
                <w:rFonts w:ascii="Century Gothic" w:hAnsi="Century Gothic"/>
                <w:b/>
                <w:iCs/>
                <w:kern w:val="36"/>
                <w:sz w:val="20"/>
              </w:rPr>
            </w:pP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  <w:hideMark/>
          </w:tcPr>
          <w:p w:rsidR="00F06E5D" w:rsidRDefault="00F06E5D">
            <w:pPr>
              <w:spacing w:line="276" w:lineRule="auto"/>
              <w:jc w:val="both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Maggio 2013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  <w:hideMark/>
          </w:tcPr>
          <w:p w:rsidR="00F06E5D" w:rsidRDefault="00F06E5D">
            <w:pPr>
              <w:spacing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Credito al consumo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:rsidR="00F06E5D" w:rsidRDefault="00F06E5D">
            <w:pPr>
              <w:spacing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7,72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:rsidR="00F06E5D" w:rsidRDefault="00F06E5D">
            <w:pPr>
              <w:spacing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6,09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:rsidR="00F06E5D" w:rsidRDefault="00F06E5D">
            <w:pPr>
              <w:spacing w:line="276" w:lineRule="auto"/>
              <w:ind w:right="272"/>
              <w:jc w:val="right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+ 163</w:t>
            </w:r>
          </w:p>
        </w:tc>
      </w:tr>
      <w:tr w:rsidR="00F06E5D" w:rsidTr="00F06E5D">
        <w:trPr>
          <w:trHeight w:val="270"/>
          <w:jc w:val="center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</w:tcPr>
          <w:p w:rsidR="00F06E5D" w:rsidRDefault="00F06E5D">
            <w:pPr>
              <w:spacing w:line="276" w:lineRule="auto"/>
              <w:jc w:val="both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  <w:hideMark/>
          </w:tcPr>
          <w:p w:rsidR="00F06E5D" w:rsidRDefault="00F06E5D">
            <w:pPr>
              <w:spacing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Mutui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:rsidR="00F06E5D" w:rsidRDefault="00F06E5D">
            <w:pPr>
              <w:spacing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4,38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:rsidR="00F06E5D" w:rsidRDefault="00F06E5D">
            <w:pPr>
              <w:spacing w:line="276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3,22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  <w:hideMark/>
          </w:tcPr>
          <w:p w:rsidR="00F06E5D" w:rsidRDefault="00F06E5D">
            <w:pPr>
              <w:spacing w:line="276" w:lineRule="auto"/>
              <w:ind w:right="272"/>
              <w:jc w:val="right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+ 114</w:t>
            </w:r>
          </w:p>
        </w:tc>
      </w:tr>
    </w:tbl>
    <w:p w:rsidR="00F06E5D" w:rsidRDefault="00F06E5D" w:rsidP="00F06E5D">
      <w:pPr>
        <w:rPr>
          <w:sz w:val="24"/>
        </w:rPr>
      </w:pPr>
    </w:p>
    <w:p w:rsidR="00F06E5D" w:rsidRDefault="00F06E5D" w:rsidP="00F06E5D">
      <w:pPr>
        <w:ind w:right="601"/>
        <w:jc w:val="both"/>
        <w:rPr>
          <w:sz w:val="24"/>
        </w:rPr>
      </w:pPr>
      <w:r>
        <w:rPr>
          <w:sz w:val="24"/>
        </w:rPr>
        <w:t>Possiamo calcolare la ripercussione di questo differenziale sull’entità delle rate. Abbiamo ipotizzato mutui da 100.000 euro a 30 e a 20 anni:</w:t>
      </w:r>
    </w:p>
    <w:p w:rsidR="00F06E5D" w:rsidRDefault="00F06E5D" w:rsidP="00F06E5D">
      <w:pPr>
        <w:ind w:right="601"/>
        <w:jc w:val="both"/>
        <w:rPr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2239"/>
        <w:gridCol w:w="2763"/>
        <w:gridCol w:w="3184"/>
      </w:tblGrid>
      <w:tr w:rsidR="00F06E5D" w:rsidTr="00F06E5D">
        <w:trPr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06E5D" w:rsidRDefault="00F06E5D">
            <w:pPr>
              <w:spacing w:line="276" w:lineRule="auto"/>
              <w:jc w:val="center"/>
              <w:rPr>
                <w:b/>
                <w:iCs/>
                <w:kern w:val="36"/>
                <w:sz w:val="20"/>
              </w:rPr>
            </w:pPr>
            <w:r>
              <w:rPr>
                <w:b/>
                <w:iCs/>
                <w:kern w:val="36"/>
                <w:sz w:val="20"/>
              </w:rPr>
              <w:t>DATI APRILE 2013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06E5D" w:rsidRDefault="00F06E5D">
            <w:pPr>
              <w:spacing w:line="276" w:lineRule="auto"/>
              <w:jc w:val="center"/>
              <w:rPr>
                <w:b/>
                <w:iCs/>
                <w:kern w:val="36"/>
                <w:sz w:val="20"/>
              </w:rPr>
            </w:pPr>
            <w:r>
              <w:rPr>
                <w:b/>
                <w:iCs/>
                <w:kern w:val="36"/>
                <w:sz w:val="20"/>
              </w:rPr>
              <w:t>Tasso applicato in Italia (rata mese)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06E5D" w:rsidRDefault="00F06E5D">
            <w:pPr>
              <w:spacing w:line="276" w:lineRule="auto"/>
              <w:jc w:val="center"/>
              <w:rPr>
                <w:b/>
                <w:iCs/>
                <w:kern w:val="36"/>
                <w:sz w:val="20"/>
              </w:rPr>
            </w:pPr>
            <w:r>
              <w:rPr>
                <w:b/>
                <w:iCs/>
                <w:kern w:val="36"/>
                <w:sz w:val="20"/>
              </w:rPr>
              <w:t xml:space="preserve">Tasso applicato in </w:t>
            </w:r>
            <w:proofErr w:type="spellStart"/>
            <w:r>
              <w:rPr>
                <w:b/>
                <w:iCs/>
                <w:kern w:val="36"/>
                <w:sz w:val="20"/>
              </w:rPr>
              <w:t>Eurolandia</w:t>
            </w:r>
            <w:proofErr w:type="spellEnd"/>
            <w:r>
              <w:rPr>
                <w:b/>
                <w:iCs/>
                <w:kern w:val="36"/>
                <w:sz w:val="20"/>
              </w:rPr>
              <w:t xml:space="preserve"> (rata mese)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:rsidR="00F06E5D" w:rsidRDefault="00F06E5D">
            <w:pPr>
              <w:spacing w:line="276" w:lineRule="auto"/>
              <w:jc w:val="center"/>
              <w:rPr>
                <w:b/>
                <w:iCs/>
                <w:kern w:val="36"/>
                <w:sz w:val="20"/>
              </w:rPr>
            </w:pPr>
            <w:r>
              <w:rPr>
                <w:b/>
                <w:iCs/>
                <w:kern w:val="36"/>
                <w:sz w:val="20"/>
              </w:rPr>
              <w:t>DIFFERENZA IN EURO</w:t>
            </w:r>
          </w:p>
        </w:tc>
      </w:tr>
      <w:tr w:rsidR="00F06E5D" w:rsidTr="00F06E5D">
        <w:trPr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vAlign w:val="center"/>
            <w:hideMark/>
          </w:tcPr>
          <w:p w:rsidR="00F06E5D" w:rsidRDefault="00F06E5D">
            <w:pPr>
              <w:spacing w:line="276" w:lineRule="auto"/>
              <w:jc w:val="both"/>
              <w:rPr>
                <w:b/>
                <w:iCs/>
                <w:kern w:val="36"/>
                <w:sz w:val="20"/>
              </w:rPr>
            </w:pPr>
            <w:r>
              <w:rPr>
                <w:b/>
                <w:iCs/>
                <w:kern w:val="36"/>
                <w:sz w:val="20"/>
              </w:rPr>
              <w:t>Mutuo 100.000 euro a 30 anni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E5D" w:rsidRDefault="00F06E5D">
            <w:pPr>
              <w:spacing w:line="360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500 € (tasso 4,38%)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E5D" w:rsidRDefault="00F06E5D">
            <w:pPr>
              <w:spacing w:line="360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434 € (Tasso 3,22%)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E5D" w:rsidRDefault="00F06E5D">
            <w:pPr>
              <w:spacing w:line="360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+66 € (mese)    +792 € (anno)</w:t>
            </w:r>
          </w:p>
          <w:p w:rsidR="00F06E5D" w:rsidRDefault="00F06E5D">
            <w:pPr>
              <w:spacing w:line="360" w:lineRule="auto"/>
              <w:jc w:val="right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 xml:space="preserve">+23.760  EURO PER I 30 ANNI  </w:t>
            </w:r>
          </w:p>
        </w:tc>
      </w:tr>
      <w:tr w:rsidR="00F06E5D" w:rsidTr="00F06E5D">
        <w:trPr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vAlign w:val="center"/>
            <w:hideMark/>
          </w:tcPr>
          <w:p w:rsidR="00F06E5D" w:rsidRDefault="00F06E5D">
            <w:pPr>
              <w:spacing w:line="276" w:lineRule="auto"/>
              <w:jc w:val="both"/>
              <w:rPr>
                <w:b/>
                <w:iCs/>
                <w:kern w:val="36"/>
                <w:sz w:val="20"/>
              </w:rPr>
            </w:pPr>
            <w:r>
              <w:rPr>
                <w:b/>
                <w:iCs/>
                <w:kern w:val="36"/>
                <w:sz w:val="20"/>
              </w:rPr>
              <w:t>Mutuo 100.000 euro a 20 anni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E5D" w:rsidRDefault="00F06E5D">
            <w:pPr>
              <w:spacing w:line="360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 xml:space="preserve">626 € (tasso 4,38%) </w:t>
            </w:r>
          </w:p>
        </w:tc>
        <w:tc>
          <w:tcPr>
            <w:tcW w:w="2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E5D" w:rsidRDefault="00F06E5D">
            <w:pPr>
              <w:spacing w:line="360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566 € (Tasso 3,22%)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E5D" w:rsidRDefault="00F06E5D">
            <w:pPr>
              <w:spacing w:line="360" w:lineRule="auto"/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+60 € (mese)     +720 € (anno)</w:t>
            </w:r>
          </w:p>
          <w:p w:rsidR="00F06E5D" w:rsidRDefault="00F06E5D">
            <w:pPr>
              <w:spacing w:line="360" w:lineRule="auto"/>
              <w:jc w:val="right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+14.400  EURO PER I 20 ANNI</w:t>
            </w:r>
          </w:p>
        </w:tc>
      </w:tr>
    </w:tbl>
    <w:p w:rsidR="00F06E5D" w:rsidRDefault="00F06E5D" w:rsidP="00F06E5D">
      <w:pPr>
        <w:jc w:val="both"/>
        <w:rPr>
          <w:sz w:val="24"/>
        </w:rPr>
      </w:pPr>
    </w:p>
    <w:p w:rsidR="00F06E5D" w:rsidRDefault="00F06E5D" w:rsidP="00F06E5D">
      <w:pPr>
        <w:ind w:right="-1"/>
        <w:jc w:val="both"/>
        <w:rPr>
          <w:sz w:val="24"/>
        </w:rPr>
      </w:pPr>
    </w:p>
    <w:p w:rsidR="00F06E5D" w:rsidRDefault="00F3264E" w:rsidP="00F06E5D">
      <w:pPr>
        <w:ind w:right="-1"/>
        <w:jc w:val="both"/>
        <w:rPr>
          <w:sz w:val="24"/>
        </w:rPr>
      </w:pPr>
      <w:r>
        <w:rPr>
          <w:sz w:val="24"/>
        </w:rPr>
        <w:t xml:space="preserve">     </w:t>
      </w:r>
      <w:r w:rsidR="00F06E5D">
        <w:rPr>
          <w:sz w:val="24"/>
        </w:rPr>
        <w:t xml:space="preserve">Per cui a maggio 2013, un mutuo di 100mila euro a 30 anni  vede il mutuatario italiano pagare una rata mensile di 66 euro  più alta del mutuatario di </w:t>
      </w:r>
      <w:proofErr w:type="spellStart"/>
      <w:r w:rsidR="00F06E5D">
        <w:rPr>
          <w:sz w:val="24"/>
        </w:rPr>
        <w:t>Eurolandia</w:t>
      </w:r>
      <w:proofErr w:type="spellEnd"/>
      <w:r w:rsidR="00F06E5D">
        <w:rPr>
          <w:sz w:val="24"/>
        </w:rPr>
        <w:t xml:space="preserve"> (792 euro in più all’anno). A conclusione del mutuo, avrà pagato 23.760 euro in più di un cittadino dell’area Euro, differenziale cresciuto rispetto ai 23.040  euro della rilevazione di aprile.</w:t>
      </w:r>
    </w:p>
    <w:p w:rsidR="00F06E5D" w:rsidRDefault="00F06E5D" w:rsidP="00F06E5D">
      <w:pPr>
        <w:ind w:right="-1"/>
        <w:jc w:val="both"/>
        <w:rPr>
          <w:sz w:val="24"/>
        </w:rPr>
      </w:pPr>
      <w:r>
        <w:rPr>
          <w:sz w:val="24"/>
        </w:rPr>
        <w:t>Per lo stesso mutuo ma a 20 anni, alla fine il mutuatario italiano avrà pagato 14.400 euro, differenziale in crescita rispetto ai 13.912 euro in più della rilevazione di aprile.</w:t>
      </w:r>
    </w:p>
    <w:p w:rsidR="00F06E5D" w:rsidRDefault="00F06E5D" w:rsidP="00F06E5D">
      <w:pPr>
        <w:ind w:right="-1"/>
        <w:jc w:val="both"/>
        <w:rPr>
          <w:sz w:val="24"/>
        </w:rPr>
      </w:pPr>
      <w:r>
        <w:rPr>
          <w:sz w:val="24"/>
        </w:rPr>
        <w:t>Le nostre banche continuano ad approfittare del basso livello dell’</w:t>
      </w:r>
      <w:proofErr w:type="spellStart"/>
      <w:r>
        <w:rPr>
          <w:sz w:val="24"/>
        </w:rPr>
        <w:t>Euribor</w:t>
      </w:r>
      <w:proofErr w:type="spellEnd"/>
      <w:r>
        <w:rPr>
          <w:sz w:val="24"/>
        </w:rPr>
        <w:t xml:space="preserve"> per i tassi variabili ed </w:t>
      </w:r>
      <w:proofErr w:type="spellStart"/>
      <w:r>
        <w:rPr>
          <w:sz w:val="24"/>
        </w:rPr>
        <w:t>Eurirs</w:t>
      </w:r>
      <w:proofErr w:type="spellEnd"/>
      <w:r>
        <w:rPr>
          <w:sz w:val="24"/>
        </w:rPr>
        <w:t xml:space="preserve"> per i tassi fissi (in leggera crescita negli ultimi giorni) per imporre spread altissimi sui mutui. </w:t>
      </w:r>
    </w:p>
    <w:p w:rsidR="00F3264E" w:rsidRDefault="00F3264E" w:rsidP="00F3264E">
      <w:pPr>
        <w:ind w:right="-1"/>
        <w:jc w:val="both"/>
        <w:rPr>
          <w:sz w:val="24"/>
        </w:rPr>
      </w:pPr>
      <w:r>
        <w:rPr>
          <w:sz w:val="24"/>
        </w:rPr>
        <w:t xml:space="preserve">   Nonostante tassi di interesse più alti della media Ue, le banche non erogano più mutui neanche con le garanzie ipotecarie e la certificazione dei redditi che consentono la restituzione, facendo così crollare il mercato immobiliare, che secondo le ultime indagini Istat hanno registrato un calo del 37,4 % i mutui, del 22,6 gli immobili venduti nel 2012 rispetto all’anno precedente.</w:t>
      </w:r>
    </w:p>
    <w:p w:rsidR="00CA6F5E" w:rsidRDefault="00F3264E" w:rsidP="00F3264E">
      <w:pPr>
        <w:ind w:right="-1"/>
        <w:jc w:val="both"/>
        <w:rPr>
          <w:sz w:val="24"/>
        </w:rPr>
      </w:pPr>
      <w:r>
        <w:rPr>
          <w:sz w:val="24"/>
        </w:rPr>
        <w:t xml:space="preserve">   </w:t>
      </w:r>
      <w:r w:rsidRPr="00F3264E">
        <w:rPr>
          <w:sz w:val="24"/>
        </w:rPr>
        <w:t xml:space="preserve">Lo scorso anno infatti gli atti dei notai per mutui, finanziamenti ed altre obbligazioni con ipoteca immobiliare stipulate con banche o soggetti diversi sono stati 262.470 contro i 419.440 del 2011. La tendenza è proseguita nel corso di tutto l’anno e nel IV trimestre la diminuzione è stata del 30,6%. Ma a dare le dimensioni del trend del mercato immobiliare è il raffronto con il non lontano 2006 quando i mutui con costituzione di ipoteca immobiliare furono 579.083: lo scorso anno sono stati meno della metà (-54,7%). Tra le diverse zone le Isole (-46,9%) e il Sud (-40,5) fanno registrare i segnali di maggiore sofferenza nell’accesso al credito, rispetto al Nord-Ovest (-37,1%), al Nord-Est (-35,3%) e in particolare al Centro (-34,5%). </w:t>
      </w:r>
    </w:p>
    <w:p w:rsidR="00F3264E" w:rsidRDefault="00F3264E" w:rsidP="00F3264E">
      <w:pPr>
        <w:ind w:right="-1"/>
        <w:jc w:val="both"/>
        <w:rPr>
          <w:sz w:val="24"/>
        </w:rPr>
      </w:pPr>
      <w:r>
        <w:rPr>
          <w:sz w:val="24"/>
        </w:rPr>
        <w:t xml:space="preserve">   Se il governo non pone al centro dell’azione la questione bancaria eliminando o riducendo la speculazione su tassi, prestiti, costi e condizioni, imponendo agli istituti di credito la loro </w:t>
      </w:r>
      <w:proofErr w:type="spellStart"/>
      <w:r w:rsidRPr="00F3264E">
        <w:rPr>
          <w:i/>
          <w:sz w:val="24"/>
        </w:rPr>
        <w:t>mission</w:t>
      </w:r>
      <w:proofErr w:type="spellEnd"/>
      <w:r>
        <w:rPr>
          <w:sz w:val="24"/>
        </w:rPr>
        <w:t xml:space="preserve"> di sana e prudente intermediazione creditizia al servizio dell’economia, invece di impiegare 265 miliardi di euro di prestiti triennali Bce al tasso dell’1% per incrementare il portafoglio dei titoli di Stato, non allontanerà la recessione e neppure l’uscita ordinata dalla crisi.</w:t>
      </w:r>
    </w:p>
    <w:p w:rsidR="00F3264E" w:rsidRDefault="00F3264E" w:rsidP="00F3264E">
      <w:pPr>
        <w:ind w:right="-1"/>
        <w:jc w:val="both"/>
        <w:rPr>
          <w:sz w:val="24"/>
        </w:rPr>
      </w:pPr>
    </w:p>
    <w:p w:rsidR="00F3264E" w:rsidRDefault="00F3264E" w:rsidP="00F3264E">
      <w:pPr>
        <w:ind w:right="-1"/>
        <w:jc w:val="both"/>
        <w:rPr>
          <w:sz w:val="24"/>
        </w:rPr>
      </w:pPr>
    </w:p>
    <w:p w:rsidR="00F3264E" w:rsidRDefault="00F3264E" w:rsidP="00F3264E">
      <w:pPr>
        <w:ind w:right="-1"/>
        <w:jc w:val="both"/>
        <w:rPr>
          <w:sz w:val="24"/>
        </w:rPr>
      </w:pPr>
      <w:r>
        <w:rPr>
          <w:sz w:val="24"/>
        </w:rPr>
        <w:t xml:space="preserve">                                     Elio Lannutti (Adusbef) – Rosario </w:t>
      </w:r>
      <w:proofErr w:type="spellStart"/>
      <w:r>
        <w:rPr>
          <w:sz w:val="24"/>
        </w:rPr>
        <w:t>Trefiletti</w:t>
      </w:r>
      <w:proofErr w:type="spellEnd"/>
      <w:r>
        <w:rPr>
          <w:sz w:val="24"/>
        </w:rPr>
        <w:t xml:space="preserve"> (Federconsumatori)  </w:t>
      </w:r>
    </w:p>
    <w:p w:rsidR="00F3264E" w:rsidRDefault="00F3264E" w:rsidP="00F3264E">
      <w:pPr>
        <w:ind w:right="-1"/>
        <w:jc w:val="both"/>
      </w:pPr>
      <w:r>
        <w:rPr>
          <w:sz w:val="24"/>
        </w:rPr>
        <w:t>Roma,20.7.2013</w:t>
      </w:r>
    </w:p>
    <w:sectPr w:rsidR="00F326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5D"/>
    <w:rsid w:val="006060DF"/>
    <w:rsid w:val="00B10F47"/>
    <w:rsid w:val="00CA6F5E"/>
    <w:rsid w:val="00F06E5D"/>
    <w:rsid w:val="00F3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6E5D"/>
    <w:pPr>
      <w:spacing w:after="0" w:line="240" w:lineRule="auto"/>
    </w:pPr>
    <w:rPr>
      <w:rFonts w:ascii="Trebuchet MS" w:eastAsia="SimSun" w:hAnsi="Trebuchet MS" w:cs="Tahoma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6E5D"/>
    <w:pPr>
      <w:spacing w:after="0" w:line="240" w:lineRule="auto"/>
    </w:pPr>
    <w:rPr>
      <w:rFonts w:ascii="Trebuchet MS" w:eastAsia="SimSun" w:hAnsi="Trebuchet MS" w:cs="Tahoma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Elio</cp:lastModifiedBy>
  <cp:revision>3</cp:revision>
  <dcterms:created xsi:type="dcterms:W3CDTF">2013-07-19T12:02:00Z</dcterms:created>
  <dcterms:modified xsi:type="dcterms:W3CDTF">2013-07-19T12:13:00Z</dcterms:modified>
</cp:coreProperties>
</file>