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DDC" w:rsidRDefault="00077DDC" w:rsidP="00077DDC">
      <w:pPr>
        <w:pStyle w:val="Nessunaspaziatura"/>
        <w:jc w:val="both"/>
      </w:pPr>
    </w:p>
    <w:p w:rsidR="00077DDC" w:rsidRPr="00176D53" w:rsidRDefault="00077DDC" w:rsidP="00077DDC">
      <w:pPr>
        <w:pStyle w:val="Nessunaspaziatura"/>
        <w:jc w:val="center"/>
        <w:rPr>
          <w:sz w:val="28"/>
          <w:szCs w:val="28"/>
        </w:rPr>
      </w:pPr>
      <w:r w:rsidRPr="00176D53">
        <w:rPr>
          <w:sz w:val="28"/>
          <w:szCs w:val="28"/>
        </w:rPr>
        <w:t>COMUNICATO STAMPA</w:t>
      </w:r>
    </w:p>
    <w:p w:rsidR="00077DDC" w:rsidRDefault="00077DDC" w:rsidP="00077DDC">
      <w:pPr>
        <w:pStyle w:val="Nessunaspaziatura"/>
        <w:jc w:val="center"/>
      </w:pPr>
    </w:p>
    <w:p w:rsidR="00176D53" w:rsidRDefault="00077DDC" w:rsidP="00077DDC">
      <w:pPr>
        <w:pStyle w:val="Nessunaspaziatura"/>
        <w:jc w:val="center"/>
        <w:rPr>
          <w:b/>
          <w:sz w:val="28"/>
          <w:szCs w:val="28"/>
        </w:rPr>
      </w:pPr>
      <w:r w:rsidRPr="00176D53">
        <w:rPr>
          <w:b/>
          <w:sz w:val="28"/>
          <w:szCs w:val="28"/>
        </w:rPr>
        <w:t>FONDI IMMOBILIARI:</w:t>
      </w:r>
      <w:r w:rsidR="00176D53">
        <w:rPr>
          <w:b/>
          <w:sz w:val="28"/>
          <w:szCs w:val="28"/>
        </w:rPr>
        <w:t xml:space="preserve"> LA </w:t>
      </w:r>
      <w:r w:rsidRPr="00176D53">
        <w:rPr>
          <w:b/>
          <w:sz w:val="28"/>
          <w:szCs w:val="28"/>
        </w:rPr>
        <w:t xml:space="preserve">CAPORETTO </w:t>
      </w:r>
      <w:r w:rsidR="00176D53">
        <w:rPr>
          <w:b/>
          <w:sz w:val="28"/>
          <w:szCs w:val="28"/>
        </w:rPr>
        <w:t>DEI</w:t>
      </w:r>
      <w:r w:rsidRPr="00176D53">
        <w:rPr>
          <w:b/>
          <w:sz w:val="28"/>
          <w:szCs w:val="28"/>
        </w:rPr>
        <w:t xml:space="preserve"> RENDIMENTI CON PERDITE CERTE </w:t>
      </w:r>
    </w:p>
    <w:p w:rsidR="00077DDC" w:rsidRPr="00176D53" w:rsidRDefault="00176D53" w:rsidP="00077DDC">
      <w:pPr>
        <w:pStyle w:val="Nessunaspaziatura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PER GLI </w:t>
      </w:r>
      <w:r w:rsidR="00077DDC" w:rsidRPr="00176D53">
        <w:rPr>
          <w:b/>
          <w:sz w:val="28"/>
          <w:szCs w:val="28"/>
        </w:rPr>
        <w:t xml:space="preserve">INVESTITORI,GUADAGNI SICURI </w:t>
      </w:r>
      <w:r>
        <w:rPr>
          <w:b/>
          <w:sz w:val="28"/>
          <w:szCs w:val="28"/>
        </w:rPr>
        <w:t xml:space="preserve">E LAUTE COMMISSIONI </w:t>
      </w:r>
      <w:r w:rsidR="00077DDC" w:rsidRPr="00176D53">
        <w:rPr>
          <w:b/>
          <w:sz w:val="28"/>
          <w:szCs w:val="28"/>
        </w:rPr>
        <w:t>PER I GESTORI.</w:t>
      </w:r>
    </w:p>
    <w:p w:rsidR="00077DDC" w:rsidRPr="007F6C4D" w:rsidRDefault="00077DDC" w:rsidP="00077DDC">
      <w:pPr>
        <w:pStyle w:val="Nessunaspaziatura"/>
        <w:jc w:val="both"/>
        <w:rPr>
          <w:b/>
          <w:sz w:val="20"/>
          <w:szCs w:val="20"/>
        </w:rPr>
      </w:pPr>
    </w:p>
    <w:p w:rsidR="007F6C4D" w:rsidRDefault="007F6C4D" w:rsidP="007F6C4D">
      <w:pPr>
        <w:pStyle w:val="Nessunaspaziatura"/>
        <w:jc w:val="both"/>
      </w:pPr>
      <w:r>
        <w:t xml:space="preserve">   I fondi immobiliari italiani, che rappresentano la Caporetto per gli investitori  che perdono quasi sempre, e la Bengodi per i gestori, che applicando alte commissioni, conseguono guadagni certi e sicuri, riescono a fare peggio dei Fondi Comuni i quali, secondo gli studi di Mediobanca, sono sempre battuti dai Bot e dagli investitori Fai da Te con uno scarto dello 0,6 per cento annuo.</w:t>
      </w:r>
    </w:p>
    <w:p w:rsidR="00077DDC" w:rsidRDefault="007F6C4D" w:rsidP="00077DDC">
      <w:pPr>
        <w:pStyle w:val="Nessunaspaziatura"/>
        <w:jc w:val="both"/>
      </w:pPr>
      <w:r>
        <w:t xml:space="preserve">    </w:t>
      </w:r>
      <w:r w:rsidR="00077DDC" w:rsidRPr="00F04A35">
        <w:t xml:space="preserve">Dei 22 fondi immobiliari riportiamo i risultati  </w:t>
      </w:r>
      <w:r w:rsidR="00077DDC">
        <w:t xml:space="preserve">a 6 mesi e a </w:t>
      </w:r>
      <w:r w:rsidR="00077DDC" w:rsidRPr="00F04A35">
        <w:t xml:space="preserve"> 1 – 3 - 5 anni. </w:t>
      </w:r>
      <w:r w:rsidR="00077DDC">
        <w:t xml:space="preserve"> </w:t>
      </w:r>
      <w:r w:rsidR="00077DDC" w:rsidRPr="00F04A35">
        <w:t>3 fondi sono stati chiusi: Caravaggio, Portfolio imm.re Crescita, Piramide globale). Le performances sono “</w:t>
      </w:r>
      <w:proofErr w:type="spellStart"/>
      <w:r w:rsidR="00077DDC" w:rsidRPr="00F04A35">
        <w:t>total</w:t>
      </w:r>
      <w:proofErr w:type="spellEnd"/>
      <w:r w:rsidR="00077DDC" w:rsidRPr="00F04A35">
        <w:t xml:space="preserve"> </w:t>
      </w:r>
      <w:proofErr w:type="spellStart"/>
      <w:r w:rsidR="00077DDC" w:rsidRPr="00F04A35">
        <w:t>return</w:t>
      </w:r>
      <w:proofErr w:type="spellEnd"/>
      <w:r w:rsidR="00077DDC" w:rsidRPr="00F04A35">
        <w:t>” cioè comprensive dei proventi distribuiti ai sottoscrittori nel periodo.</w:t>
      </w:r>
    </w:p>
    <w:p w:rsidR="00077DDC" w:rsidRPr="00F04A35" w:rsidRDefault="00077DDC" w:rsidP="00077DDC">
      <w:pPr>
        <w:pStyle w:val="Nessunaspaziatura"/>
        <w:jc w:val="both"/>
      </w:pPr>
      <w:r w:rsidRPr="00F04A35">
        <w:t xml:space="preserve">Dei 22 fondi, </w:t>
      </w:r>
      <w:r w:rsidRPr="00966A41">
        <w:rPr>
          <w:b/>
        </w:rPr>
        <w:t>solo 2</w:t>
      </w:r>
      <w:r w:rsidRPr="00F04A35">
        <w:t xml:space="preserve"> hanno dato risultati </w:t>
      </w:r>
      <w:r w:rsidRPr="00966A41">
        <w:rPr>
          <w:b/>
        </w:rPr>
        <w:t>sempre positivi nei 4 periodi</w:t>
      </w:r>
      <w:r w:rsidRPr="00F04A35">
        <w:t xml:space="preserve"> monitorati: </w:t>
      </w:r>
      <w:hyperlink r:id="rId5" w:history="1">
        <w:r w:rsidRPr="00F04A35">
          <w:t>Estense Grande Distribuzione</w:t>
        </w:r>
      </w:hyperlink>
      <w:r w:rsidRPr="00F04A35">
        <w:t xml:space="preserve"> (n°</w:t>
      </w:r>
      <w:r>
        <w:t xml:space="preserve"> </w:t>
      </w:r>
      <w:r w:rsidRPr="00F04A35">
        <w:t xml:space="preserve">9 in tabella)  e  </w:t>
      </w:r>
      <w:proofErr w:type="spellStart"/>
      <w:r w:rsidRPr="00F04A35">
        <w:t>Investietico</w:t>
      </w:r>
      <w:proofErr w:type="spellEnd"/>
      <w:r w:rsidRPr="00F04A35">
        <w:t xml:space="preserve"> (n° 13 in tabella). </w:t>
      </w:r>
    </w:p>
    <w:p w:rsidR="00077DDC" w:rsidRDefault="00077DDC" w:rsidP="00077DDC">
      <w:pPr>
        <w:pStyle w:val="Nessunaspaziatura"/>
        <w:jc w:val="both"/>
      </w:pPr>
      <w:r w:rsidRPr="00966A41">
        <w:rPr>
          <w:b/>
        </w:rPr>
        <w:t>Sono 8</w:t>
      </w:r>
      <w:r w:rsidRPr="00F04A35">
        <w:t xml:space="preserve"> </w:t>
      </w:r>
      <w:r>
        <w:t xml:space="preserve">i </w:t>
      </w:r>
      <w:r w:rsidRPr="00F04A35">
        <w:t xml:space="preserve">fondi </w:t>
      </w:r>
      <w:r>
        <w:t xml:space="preserve">che </w:t>
      </w:r>
      <w:r w:rsidRPr="00F04A35">
        <w:t xml:space="preserve">hanno dato risultati </w:t>
      </w:r>
      <w:r w:rsidRPr="00966A41">
        <w:rPr>
          <w:b/>
        </w:rPr>
        <w:t>sempre negativi</w:t>
      </w:r>
      <w:r w:rsidRPr="00F04A35">
        <w:t xml:space="preserve">: </w:t>
      </w:r>
      <w:hyperlink r:id="rId6" w:history="1">
        <w:r w:rsidRPr="00F04A35">
          <w:rPr>
            <w:rStyle w:val="Collegamentoipertestuale"/>
            <w:rFonts w:ascii="Century Gothic" w:hAnsi="Century Gothic"/>
            <w:color w:val="auto"/>
            <w:sz w:val="20"/>
            <w:szCs w:val="20"/>
            <w:u w:val="none"/>
          </w:rPr>
          <w:t>Fondo Alpha Immobiliare</w:t>
        </w:r>
      </w:hyperlink>
      <w:r w:rsidRPr="00F04A35">
        <w:t xml:space="preserve">, </w:t>
      </w:r>
      <w:hyperlink r:id="rId7" w:history="1">
        <w:r w:rsidRPr="00F04A35">
          <w:rPr>
            <w:rStyle w:val="Collegamentoipertestuale"/>
            <w:rFonts w:ascii="Century Gothic" w:hAnsi="Century Gothic"/>
            <w:color w:val="auto"/>
            <w:sz w:val="20"/>
            <w:szCs w:val="20"/>
            <w:u w:val="none"/>
          </w:rPr>
          <w:t>Europa Immobiliare 1</w:t>
        </w:r>
      </w:hyperlink>
      <w:r>
        <w:t>,</w:t>
      </w:r>
      <w:hyperlink r:id="rId8" w:history="1">
        <w:r w:rsidRPr="00F04A35">
          <w:rPr>
            <w:rStyle w:val="Collegamentoipertestuale"/>
            <w:rFonts w:ascii="Century Gothic" w:hAnsi="Century Gothic"/>
            <w:color w:val="auto"/>
            <w:sz w:val="20"/>
            <w:szCs w:val="20"/>
            <w:u w:val="none"/>
          </w:rPr>
          <w:t xml:space="preserve">Immobiliare </w:t>
        </w:r>
        <w:proofErr w:type="spellStart"/>
        <w:r w:rsidRPr="00F04A35">
          <w:rPr>
            <w:rStyle w:val="Collegamentoipertestuale"/>
            <w:rFonts w:ascii="Century Gothic" w:hAnsi="Century Gothic"/>
            <w:color w:val="auto"/>
            <w:sz w:val="20"/>
            <w:szCs w:val="20"/>
            <w:u w:val="none"/>
          </w:rPr>
          <w:t>Dinamico</w:t>
        </w:r>
      </w:hyperlink>
      <w:r w:rsidRPr="00F04A35">
        <w:t>,</w:t>
      </w:r>
      <w:hyperlink r:id="rId9" w:history="1">
        <w:r w:rsidRPr="00F04A35">
          <w:rPr>
            <w:rStyle w:val="Collegamentoipertestuale"/>
            <w:rFonts w:ascii="Century Gothic" w:hAnsi="Century Gothic"/>
            <w:color w:val="auto"/>
            <w:sz w:val="20"/>
            <w:szCs w:val="20"/>
            <w:u w:val="none"/>
          </w:rPr>
          <w:t>Immobilium</w:t>
        </w:r>
        <w:proofErr w:type="spellEnd"/>
        <w:r w:rsidRPr="00F04A35">
          <w:rPr>
            <w:rStyle w:val="Collegamentoipertestuale"/>
            <w:rFonts w:ascii="Century Gothic" w:hAnsi="Century Gothic"/>
            <w:color w:val="auto"/>
            <w:sz w:val="20"/>
            <w:szCs w:val="20"/>
            <w:u w:val="none"/>
          </w:rPr>
          <w:t xml:space="preserve"> 2001</w:t>
        </w:r>
      </w:hyperlink>
      <w:r w:rsidRPr="00F04A35">
        <w:t>,</w:t>
      </w:r>
      <w:hyperlink r:id="rId10" w:history="1">
        <w:r w:rsidRPr="00F04A35">
          <w:rPr>
            <w:rStyle w:val="Collegamentoipertestuale"/>
            <w:rFonts w:ascii="Century Gothic" w:hAnsi="Century Gothic"/>
            <w:color w:val="auto"/>
            <w:sz w:val="20"/>
            <w:szCs w:val="20"/>
            <w:u w:val="none"/>
          </w:rPr>
          <w:t>Obelisco</w:t>
        </w:r>
      </w:hyperlink>
      <w:r w:rsidRPr="00F04A35">
        <w:t>,</w:t>
      </w:r>
      <w:hyperlink r:id="rId11" w:history="1">
        <w:r w:rsidRPr="00F04A35">
          <w:rPr>
            <w:rStyle w:val="Collegamentoipertestuale"/>
            <w:rFonts w:ascii="Century Gothic" w:hAnsi="Century Gothic"/>
            <w:color w:val="auto"/>
            <w:sz w:val="20"/>
            <w:szCs w:val="20"/>
            <w:u w:val="none"/>
          </w:rPr>
          <w:t xml:space="preserve">Fondo </w:t>
        </w:r>
        <w:proofErr w:type="spellStart"/>
        <w:r w:rsidRPr="00F04A35">
          <w:rPr>
            <w:rStyle w:val="Collegamentoipertestuale"/>
            <w:rFonts w:ascii="Century Gothic" w:hAnsi="Century Gothic"/>
            <w:color w:val="auto"/>
            <w:sz w:val="20"/>
            <w:szCs w:val="20"/>
            <w:u w:val="none"/>
          </w:rPr>
          <w:t>Olinda</w:t>
        </w:r>
      </w:hyperlink>
      <w:r w:rsidRPr="00F04A35">
        <w:t>,</w:t>
      </w:r>
      <w:hyperlink r:id="rId12" w:history="1">
        <w:r w:rsidRPr="00F04A35">
          <w:rPr>
            <w:rStyle w:val="Collegamentoipertestuale"/>
            <w:rFonts w:ascii="Century Gothic" w:hAnsi="Century Gothic"/>
            <w:color w:val="auto"/>
            <w:sz w:val="20"/>
            <w:szCs w:val="20"/>
            <w:u w:val="none"/>
          </w:rPr>
          <w:t>Fondo</w:t>
        </w:r>
        <w:proofErr w:type="spellEnd"/>
        <w:r w:rsidRPr="00F04A35">
          <w:rPr>
            <w:rStyle w:val="Collegamentoipertestuale"/>
            <w:rFonts w:ascii="Century Gothic" w:hAnsi="Century Gothic"/>
            <w:color w:val="auto"/>
            <w:sz w:val="20"/>
            <w:szCs w:val="20"/>
            <w:u w:val="none"/>
          </w:rPr>
          <w:t xml:space="preserve"> </w:t>
        </w:r>
        <w:proofErr w:type="spellStart"/>
        <w:r w:rsidRPr="00F04A35">
          <w:rPr>
            <w:rStyle w:val="Collegamentoipertestuale"/>
            <w:rFonts w:ascii="Century Gothic" w:hAnsi="Century Gothic"/>
            <w:color w:val="auto"/>
            <w:sz w:val="20"/>
            <w:szCs w:val="20"/>
            <w:u w:val="none"/>
          </w:rPr>
          <w:t>Tecla</w:t>
        </w:r>
      </w:hyperlink>
      <w:r w:rsidRPr="00F04A35">
        <w:t>,</w:t>
      </w:r>
      <w:hyperlink r:id="rId13" w:history="1">
        <w:r w:rsidRPr="00F04A35">
          <w:rPr>
            <w:rStyle w:val="Collegamentoipertestuale"/>
            <w:rFonts w:ascii="Century Gothic" w:hAnsi="Century Gothic"/>
            <w:color w:val="auto"/>
            <w:sz w:val="20"/>
            <w:szCs w:val="20"/>
            <w:u w:val="none"/>
          </w:rPr>
          <w:t>Valore</w:t>
        </w:r>
        <w:proofErr w:type="spellEnd"/>
        <w:r w:rsidRPr="00F04A35">
          <w:rPr>
            <w:rStyle w:val="Collegamentoipertestuale"/>
            <w:rFonts w:ascii="Century Gothic" w:hAnsi="Century Gothic"/>
            <w:color w:val="auto"/>
            <w:sz w:val="20"/>
            <w:szCs w:val="20"/>
            <w:u w:val="none"/>
          </w:rPr>
          <w:t xml:space="preserve"> </w:t>
        </w:r>
        <w:proofErr w:type="spellStart"/>
        <w:r w:rsidRPr="00F04A35">
          <w:rPr>
            <w:rStyle w:val="Collegamentoipertestuale"/>
            <w:rFonts w:ascii="Century Gothic" w:hAnsi="Century Gothic"/>
            <w:color w:val="auto"/>
            <w:sz w:val="20"/>
            <w:szCs w:val="20"/>
            <w:u w:val="none"/>
          </w:rPr>
          <w:t>Imm</w:t>
        </w:r>
        <w:proofErr w:type="spellEnd"/>
        <w:r>
          <w:rPr>
            <w:rStyle w:val="Collegamentoipertestuale"/>
            <w:rFonts w:ascii="Century Gothic" w:hAnsi="Century Gothic"/>
            <w:color w:val="auto"/>
            <w:sz w:val="20"/>
            <w:szCs w:val="20"/>
            <w:u w:val="none"/>
          </w:rPr>
          <w:t>.</w:t>
        </w:r>
        <w:r w:rsidRPr="00F04A35">
          <w:rPr>
            <w:rStyle w:val="Collegamentoipertestuale"/>
            <w:rFonts w:ascii="Century Gothic" w:hAnsi="Century Gothic"/>
            <w:color w:val="auto"/>
            <w:sz w:val="20"/>
            <w:szCs w:val="20"/>
            <w:u w:val="none"/>
          </w:rPr>
          <w:t xml:space="preserve"> Globale</w:t>
        </w:r>
      </w:hyperlink>
      <w:r>
        <w:t>.</w:t>
      </w:r>
    </w:p>
    <w:p w:rsidR="00077DDC" w:rsidRDefault="00077DDC" w:rsidP="00077DDC">
      <w:pPr>
        <w:pStyle w:val="Nessunaspaziatura"/>
        <w:jc w:val="both"/>
      </w:pPr>
      <w:r w:rsidRPr="00966A41">
        <w:rPr>
          <w:b/>
        </w:rPr>
        <w:t>Negli ultimi 6 mesi</w:t>
      </w:r>
      <w:r>
        <w:t xml:space="preserve"> il miglior risultato è stato </w:t>
      </w:r>
      <w:r w:rsidRPr="00FB3C14">
        <w:t xml:space="preserve">offerto da </w:t>
      </w:r>
      <w:hyperlink r:id="rId14" w:history="1">
        <w:r w:rsidRPr="00FB3C14">
          <w:rPr>
            <w:rStyle w:val="Collegamentoipertestuale"/>
            <w:rFonts w:ascii="Century Gothic" w:hAnsi="Century Gothic"/>
            <w:color w:val="auto"/>
            <w:sz w:val="20"/>
            <w:szCs w:val="20"/>
            <w:u w:val="none"/>
          </w:rPr>
          <w:t>Fondo ATLANTIC 1</w:t>
        </w:r>
      </w:hyperlink>
      <w:r w:rsidRPr="00FB3C14">
        <w:t xml:space="preserve"> con + 49,12%. </w:t>
      </w:r>
      <w:r>
        <w:t xml:space="preserve"> </w:t>
      </w:r>
      <w:r w:rsidRPr="00FB3C14">
        <w:t xml:space="preserve">Il peggiore è risultato </w:t>
      </w:r>
      <w:hyperlink r:id="rId15" w:history="1">
        <w:r w:rsidRPr="00FB3C14">
          <w:rPr>
            <w:rStyle w:val="Collegamentoipertestuale"/>
            <w:rFonts w:ascii="Century Gothic" w:hAnsi="Century Gothic"/>
            <w:color w:val="auto"/>
            <w:sz w:val="20"/>
            <w:szCs w:val="20"/>
            <w:u w:val="none"/>
          </w:rPr>
          <w:t>Valore Immobiliare Globale</w:t>
        </w:r>
      </w:hyperlink>
      <w:r w:rsidRPr="00FB3C14">
        <w:t xml:space="preserve"> con</w:t>
      </w:r>
      <w:r>
        <w:t xml:space="preserve"> – 11,99%</w:t>
      </w:r>
    </w:p>
    <w:p w:rsidR="00077DDC" w:rsidRPr="00F04A35" w:rsidRDefault="00077DDC" w:rsidP="00077DDC">
      <w:pPr>
        <w:pStyle w:val="Nessunaspaziatura"/>
        <w:jc w:val="both"/>
      </w:pPr>
      <w:r w:rsidRPr="00966A41">
        <w:rPr>
          <w:b/>
        </w:rPr>
        <w:t>Nell’ultimo anno</w:t>
      </w:r>
      <w:r>
        <w:t xml:space="preserve"> il miglior risultato è stato offerto da Estense grande Distribuzione col </w:t>
      </w:r>
      <w:r w:rsidRPr="00F02765">
        <w:t>+49,19%</w:t>
      </w:r>
      <w:r>
        <w:t xml:space="preserve">. Il peggiore è risultato il Fondo Tecla con </w:t>
      </w:r>
      <w:r w:rsidRPr="00F02765">
        <w:t>-29,28%</w:t>
      </w:r>
      <w:r>
        <w:t>.</w:t>
      </w:r>
    </w:p>
    <w:p w:rsidR="00077DDC" w:rsidRPr="00F04A35" w:rsidRDefault="00077DDC" w:rsidP="00077DDC">
      <w:pPr>
        <w:pStyle w:val="Nessunaspaziatura"/>
        <w:jc w:val="both"/>
      </w:pPr>
      <w:r w:rsidRPr="00966A41">
        <w:rPr>
          <w:b/>
        </w:rPr>
        <w:t>Negli ultimi 3  anni</w:t>
      </w:r>
      <w:r>
        <w:t xml:space="preserve"> il miglior risultato è stato offerto da Estense grande Distribuzione col </w:t>
      </w:r>
      <w:r w:rsidRPr="00F02765">
        <w:t>+26,89</w:t>
      </w:r>
      <w:r>
        <w:t xml:space="preserve">%. </w:t>
      </w:r>
      <w:r>
        <w:t xml:space="preserve"> </w:t>
      </w:r>
      <w:r>
        <w:t xml:space="preserve">Il peggiore è risultato l’Immobiliare Dinamico con </w:t>
      </w:r>
      <w:r w:rsidRPr="00F02765">
        <w:t>-68,25%</w:t>
      </w:r>
      <w:r>
        <w:t>.</w:t>
      </w:r>
    </w:p>
    <w:p w:rsidR="00077DDC" w:rsidRPr="00F04A35" w:rsidRDefault="00077DDC" w:rsidP="00077DDC">
      <w:pPr>
        <w:pStyle w:val="Nessunaspaziatura"/>
        <w:jc w:val="both"/>
      </w:pPr>
      <w:r w:rsidRPr="00966A41">
        <w:rPr>
          <w:b/>
        </w:rPr>
        <w:t>Negli ultimi 5 anni</w:t>
      </w:r>
      <w:r>
        <w:t xml:space="preserve"> il miglior risultato è stato offerto ancora una volta da Estense grande Distribuzione col </w:t>
      </w:r>
      <w:r w:rsidRPr="00F02765">
        <w:t>+42,71%</w:t>
      </w:r>
      <w:r>
        <w:t xml:space="preserve">. Il peggiore è risultato l’Immobiliare Dinamico con </w:t>
      </w:r>
      <w:r w:rsidRPr="00F02765">
        <w:t>-68,25%</w:t>
      </w:r>
    </w:p>
    <w:p w:rsidR="007F6C4D" w:rsidRDefault="007F6C4D" w:rsidP="00077DDC">
      <w:pPr>
        <w:spacing w:after="0"/>
        <w:jc w:val="center"/>
      </w:pPr>
    </w:p>
    <w:p w:rsidR="00077DDC" w:rsidRPr="00B97F0A" w:rsidRDefault="00077DDC" w:rsidP="00077DDC">
      <w:pPr>
        <w:spacing w:after="0"/>
        <w:jc w:val="center"/>
        <w:rPr>
          <w:sz w:val="20"/>
          <w:szCs w:val="20"/>
        </w:rPr>
      </w:pPr>
      <w:r w:rsidRPr="00B97F0A">
        <w:rPr>
          <w:sz w:val="20"/>
          <w:szCs w:val="20"/>
        </w:rPr>
        <w:t>FONDI IMMOBILIARI Performance “</w:t>
      </w:r>
      <w:proofErr w:type="spellStart"/>
      <w:r w:rsidRPr="00B97F0A">
        <w:rPr>
          <w:sz w:val="20"/>
          <w:szCs w:val="20"/>
        </w:rPr>
        <w:t>total</w:t>
      </w:r>
      <w:proofErr w:type="spellEnd"/>
      <w:r w:rsidRPr="00B97F0A">
        <w:rPr>
          <w:sz w:val="20"/>
          <w:szCs w:val="20"/>
        </w:rPr>
        <w:t xml:space="preserve"> </w:t>
      </w:r>
      <w:proofErr w:type="spellStart"/>
      <w:r w:rsidRPr="00B97F0A">
        <w:rPr>
          <w:sz w:val="20"/>
          <w:szCs w:val="20"/>
        </w:rPr>
        <w:t>return</w:t>
      </w:r>
      <w:proofErr w:type="spellEnd"/>
      <w:r w:rsidRPr="00B97F0A">
        <w:rPr>
          <w:sz w:val="20"/>
          <w:szCs w:val="20"/>
        </w:rPr>
        <w:t>”</w:t>
      </w:r>
      <w:r w:rsidRPr="00B97F0A">
        <w:rPr>
          <w:sz w:val="20"/>
          <w:szCs w:val="20"/>
        </w:rPr>
        <w:t xml:space="preserve"> </w:t>
      </w:r>
      <w:r w:rsidRPr="00B97F0A">
        <w:rPr>
          <w:sz w:val="20"/>
          <w:szCs w:val="20"/>
        </w:rPr>
        <w:t>(tiene conto dei proventi distribuiti nel periodo).</w:t>
      </w:r>
    </w:p>
    <w:p w:rsidR="00077DDC" w:rsidRPr="00B97F0A" w:rsidRDefault="00077DDC" w:rsidP="00077DDC">
      <w:pPr>
        <w:jc w:val="center"/>
        <w:rPr>
          <w:sz w:val="20"/>
          <w:szCs w:val="20"/>
        </w:rPr>
      </w:pPr>
      <w:r w:rsidRPr="00B97F0A">
        <w:rPr>
          <w:sz w:val="20"/>
          <w:szCs w:val="20"/>
        </w:rPr>
        <w:t xml:space="preserve">FONTE: </w:t>
      </w:r>
      <w:hyperlink r:id="rId16" w:history="1">
        <w:r w:rsidRPr="00B97F0A">
          <w:rPr>
            <w:rStyle w:val="Collegamentoipertestuale"/>
            <w:sz w:val="20"/>
            <w:szCs w:val="20"/>
          </w:rPr>
          <w:t>www.tradingsystems.it</w:t>
        </w:r>
      </w:hyperlink>
      <w:r w:rsidR="007F6C4D" w:rsidRPr="00B97F0A">
        <w:rPr>
          <w:sz w:val="20"/>
          <w:szCs w:val="20"/>
        </w:rPr>
        <w:t xml:space="preserve"> Elaborazioni Adusbef</w:t>
      </w:r>
    </w:p>
    <w:tbl>
      <w:tblPr>
        <w:tblpPr w:leftFromText="142" w:rightFromText="142" w:vertAnchor="text" w:horzAnchor="margin" w:tblpXSpec="center" w:tblpY="1"/>
        <w:tblOverlap w:val="never"/>
        <w:tblW w:w="100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1015"/>
        <w:gridCol w:w="970"/>
        <w:gridCol w:w="1275"/>
        <w:gridCol w:w="760"/>
        <w:gridCol w:w="975"/>
        <w:gridCol w:w="975"/>
        <w:gridCol w:w="975"/>
      </w:tblGrid>
      <w:tr w:rsidR="00077DDC" w:rsidRPr="00B97F0A" w:rsidTr="00B97F0A">
        <w:tc>
          <w:tcPr>
            <w:tcW w:w="3085" w:type="dxa"/>
            <w:gridSpan w:val="2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7F0A">
              <w:rPr>
                <w:rFonts w:ascii="Century Gothic" w:hAnsi="Century Gothic"/>
                <w:b/>
                <w:sz w:val="20"/>
                <w:szCs w:val="20"/>
              </w:rPr>
              <w:t>NOME  DEL FONDO</w:t>
            </w:r>
          </w:p>
        </w:tc>
        <w:tc>
          <w:tcPr>
            <w:tcW w:w="1015" w:type="dxa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7F0A">
              <w:rPr>
                <w:rFonts w:ascii="Century Gothic" w:hAnsi="Century Gothic"/>
                <w:b/>
                <w:sz w:val="20"/>
                <w:szCs w:val="20"/>
              </w:rPr>
              <w:t>Prezzo colloc.to</w:t>
            </w:r>
          </w:p>
        </w:tc>
        <w:tc>
          <w:tcPr>
            <w:tcW w:w="970" w:type="dxa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B97F0A">
              <w:rPr>
                <w:rFonts w:ascii="Century Gothic" w:hAnsi="Century Gothic"/>
                <w:b/>
                <w:sz w:val="20"/>
                <w:szCs w:val="20"/>
              </w:rPr>
              <w:t>Quotaz</w:t>
            </w:r>
            <w:proofErr w:type="spellEnd"/>
            <w:r w:rsidRPr="00B97F0A">
              <w:rPr>
                <w:rFonts w:ascii="Century Gothic" w:hAnsi="Century Gothic"/>
                <w:b/>
                <w:sz w:val="20"/>
                <w:szCs w:val="20"/>
              </w:rPr>
              <w:t>.</w:t>
            </w:r>
          </w:p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7F0A">
              <w:rPr>
                <w:rFonts w:ascii="Century Gothic" w:hAnsi="Century Gothic"/>
                <w:b/>
                <w:sz w:val="20"/>
                <w:szCs w:val="20"/>
              </w:rPr>
              <w:t>Al 10-7-2013</w:t>
            </w:r>
          </w:p>
        </w:tc>
        <w:tc>
          <w:tcPr>
            <w:tcW w:w="1275" w:type="dxa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B97F0A">
              <w:rPr>
                <w:rFonts w:ascii="Century Gothic" w:hAnsi="Century Gothic"/>
                <w:b/>
                <w:sz w:val="20"/>
                <w:szCs w:val="20"/>
              </w:rPr>
              <w:t>Capitalizz</w:t>
            </w:r>
            <w:proofErr w:type="spellEnd"/>
            <w:r w:rsidRPr="00B97F0A">
              <w:rPr>
                <w:rFonts w:ascii="Century Gothic" w:hAnsi="Century Gothic"/>
                <w:b/>
                <w:sz w:val="20"/>
                <w:szCs w:val="20"/>
              </w:rPr>
              <w:t>.</w:t>
            </w:r>
          </w:p>
          <w:p w:rsidR="00077DDC" w:rsidRPr="00B97F0A" w:rsidRDefault="00077DDC" w:rsidP="007F6C4D">
            <w:pPr>
              <w:spacing w:after="0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7F0A">
              <w:rPr>
                <w:rFonts w:ascii="Century Gothic" w:hAnsi="Century Gothic"/>
                <w:b/>
                <w:sz w:val="20"/>
                <w:szCs w:val="20"/>
              </w:rPr>
              <w:t xml:space="preserve"> borsa (mi</w:t>
            </w:r>
            <w:r w:rsidR="007F6C4D" w:rsidRPr="00B97F0A">
              <w:rPr>
                <w:rFonts w:ascii="Century Gothic" w:hAnsi="Century Gothic"/>
                <w:b/>
                <w:sz w:val="20"/>
                <w:szCs w:val="20"/>
              </w:rPr>
              <w:t>lioni</w:t>
            </w:r>
            <w:r w:rsidRPr="00B97F0A">
              <w:rPr>
                <w:rFonts w:ascii="Century Gothic" w:hAnsi="Century Gothic"/>
                <w:b/>
                <w:sz w:val="20"/>
                <w:szCs w:val="20"/>
              </w:rPr>
              <w:t xml:space="preserve"> euro)</w:t>
            </w:r>
          </w:p>
        </w:tc>
        <w:tc>
          <w:tcPr>
            <w:tcW w:w="760" w:type="dxa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7F0A">
              <w:rPr>
                <w:rFonts w:ascii="Century Gothic" w:hAnsi="Century Gothic"/>
                <w:b/>
                <w:sz w:val="20"/>
                <w:szCs w:val="20"/>
              </w:rPr>
              <w:t>PERF.</w:t>
            </w:r>
          </w:p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7F0A">
              <w:rPr>
                <w:rFonts w:ascii="Century Gothic" w:hAnsi="Century Gothic"/>
                <w:b/>
                <w:sz w:val="20"/>
                <w:szCs w:val="20"/>
              </w:rPr>
              <w:t>6 MESI</w:t>
            </w:r>
          </w:p>
        </w:tc>
        <w:tc>
          <w:tcPr>
            <w:tcW w:w="975" w:type="dxa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7F0A">
              <w:rPr>
                <w:rFonts w:ascii="Century Gothic" w:hAnsi="Century Gothic"/>
                <w:b/>
                <w:sz w:val="20"/>
                <w:szCs w:val="20"/>
              </w:rPr>
              <w:t>PERFORM.</w:t>
            </w:r>
          </w:p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7F0A">
              <w:rPr>
                <w:rFonts w:ascii="Century Gothic" w:hAnsi="Century Gothic"/>
                <w:b/>
                <w:sz w:val="20"/>
                <w:szCs w:val="20"/>
              </w:rPr>
              <w:t>1 ANNO</w:t>
            </w:r>
          </w:p>
        </w:tc>
        <w:tc>
          <w:tcPr>
            <w:tcW w:w="975" w:type="dxa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7F0A">
              <w:rPr>
                <w:rFonts w:ascii="Century Gothic" w:hAnsi="Century Gothic"/>
                <w:b/>
                <w:sz w:val="20"/>
                <w:szCs w:val="20"/>
              </w:rPr>
              <w:t>PERFORM.</w:t>
            </w:r>
          </w:p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7F0A">
              <w:rPr>
                <w:rFonts w:ascii="Century Gothic" w:hAnsi="Century Gothic"/>
                <w:b/>
                <w:sz w:val="20"/>
                <w:szCs w:val="20"/>
              </w:rPr>
              <w:t>3 ANNI</w:t>
            </w:r>
          </w:p>
        </w:tc>
        <w:tc>
          <w:tcPr>
            <w:tcW w:w="975" w:type="dxa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7F0A">
              <w:rPr>
                <w:rFonts w:ascii="Century Gothic" w:hAnsi="Century Gothic"/>
                <w:b/>
                <w:sz w:val="20"/>
                <w:szCs w:val="20"/>
              </w:rPr>
              <w:t>PERFORM.</w:t>
            </w:r>
          </w:p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7F0A">
              <w:rPr>
                <w:rFonts w:ascii="Century Gothic" w:hAnsi="Century Gothic"/>
                <w:b/>
                <w:sz w:val="20"/>
                <w:szCs w:val="20"/>
              </w:rPr>
              <w:t>5 ANNI</w:t>
            </w:r>
          </w:p>
        </w:tc>
      </w:tr>
      <w:tr w:rsidR="00077DDC" w:rsidRPr="00B97F0A" w:rsidTr="00B97F0A">
        <w:tc>
          <w:tcPr>
            <w:tcW w:w="817" w:type="dxa"/>
            <w:vAlign w:val="center"/>
          </w:tcPr>
          <w:p w:rsidR="00077DDC" w:rsidRPr="00B97F0A" w:rsidRDefault="00077DDC" w:rsidP="007D0CD7">
            <w:pPr>
              <w:spacing w:after="0"/>
              <w:rPr>
                <w:rFonts w:ascii="Century Gothic" w:hAnsi="Century Gothic"/>
                <w:b/>
                <w:sz w:val="20"/>
                <w:szCs w:val="20"/>
              </w:rPr>
            </w:pPr>
            <w:r w:rsidRPr="00B97F0A">
              <w:rPr>
                <w:rFonts w:ascii="Century Gothic" w:hAnsi="Century Gothic"/>
                <w:b/>
                <w:sz w:val="20"/>
                <w:szCs w:val="20"/>
              </w:rPr>
              <w:t>QFAL</w:t>
            </w:r>
          </w:p>
        </w:tc>
        <w:tc>
          <w:tcPr>
            <w:tcW w:w="2268" w:type="dxa"/>
            <w:vAlign w:val="center"/>
          </w:tcPr>
          <w:p w:rsidR="00077DDC" w:rsidRPr="00B97F0A" w:rsidRDefault="00077DDC" w:rsidP="007D0CD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hyperlink r:id="rId17" w:history="1">
              <w:r w:rsidRPr="00B97F0A">
                <w:rPr>
                  <w:rStyle w:val="Collegamentoipertestuale"/>
                  <w:rFonts w:ascii="Century Gothic" w:hAnsi="Century Gothic"/>
                  <w:sz w:val="20"/>
                  <w:szCs w:val="20"/>
                </w:rPr>
                <w:t>Fondo Alpha Immobiliare</w:t>
              </w:r>
            </w:hyperlink>
          </w:p>
        </w:tc>
        <w:tc>
          <w:tcPr>
            <w:tcW w:w="1015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2.500,000</w:t>
            </w:r>
          </w:p>
        </w:tc>
        <w:tc>
          <w:tcPr>
            <w:tcW w:w="970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901,00</w:t>
            </w:r>
          </w:p>
        </w:tc>
        <w:tc>
          <w:tcPr>
            <w:tcW w:w="1275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94</w:t>
            </w:r>
          </w:p>
        </w:tc>
        <w:tc>
          <w:tcPr>
            <w:tcW w:w="760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-13,72%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-26,51%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-54,61%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-58,58%</w:t>
            </w:r>
          </w:p>
        </w:tc>
      </w:tr>
      <w:tr w:rsidR="00077DDC" w:rsidRPr="00B97F0A" w:rsidTr="00B97F0A">
        <w:tc>
          <w:tcPr>
            <w:tcW w:w="817" w:type="dxa"/>
            <w:vAlign w:val="center"/>
          </w:tcPr>
          <w:p w:rsidR="00077DDC" w:rsidRPr="00B97F0A" w:rsidRDefault="00077DDC" w:rsidP="007D0CD7">
            <w:pPr>
              <w:spacing w:after="0"/>
              <w:rPr>
                <w:rFonts w:ascii="Century Gothic" w:hAnsi="Century Gothic"/>
                <w:b/>
                <w:sz w:val="20"/>
                <w:szCs w:val="20"/>
              </w:rPr>
            </w:pPr>
            <w:r w:rsidRPr="00B97F0A">
              <w:rPr>
                <w:rFonts w:ascii="Century Gothic" w:hAnsi="Century Gothic"/>
                <w:b/>
                <w:sz w:val="20"/>
                <w:szCs w:val="20"/>
              </w:rPr>
              <w:t>QFARE</w:t>
            </w:r>
          </w:p>
        </w:tc>
        <w:tc>
          <w:tcPr>
            <w:tcW w:w="2268" w:type="dxa"/>
            <w:vAlign w:val="center"/>
          </w:tcPr>
          <w:p w:rsidR="00077DDC" w:rsidRPr="00B97F0A" w:rsidRDefault="00077DDC" w:rsidP="007D0CD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hyperlink r:id="rId18" w:history="1">
              <w:proofErr w:type="spellStart"/>
              <w:r w:rsidRPr="00B97F0A">
                <w:rPr>
                  <w:rStyle w:val="Collegamentoipertestuale"/>
                  <w:rFonts w:ascii="Century Gothic" w:hAnsi="Century Gothic"/>
                  <w:sz w:val="20"/>
                  <w:szCs w:val="20"/>
                </w:rPr>
                <w:t>Amundi</w:t>
              </w:r>
              <w:proofErr w:type="spellEnd"/>
              <w:r w:rsidRPr="00B97F0A">
                <w:rPr>
                  <w:rStyle w:val="Collegamentoipertestuale"/>
                  <w:rFonts w:ascii="Century Gothic" w:hAnsi="Century Gothic"/>
                  <w:sz w:val="20"/>
                  <w:szCs w:val="20"/>
                </w:rPr>
                <w:t xml:space="preserve"> RE Europa </w:t>
              </w:r>
              <w:r w:rsidRPr="00B97F0A">
                <w:rPr>
                  <w:rStyle w:val="Collegamentoipertestuale"/>
                  <w:rFonts w:ascii="Century Gothic" w:hAnsi="Century Gothic"/>
                  <w:color w:val="FFFFFF"/>
                  <w:sz w:val="20"/>
                  <w:szCs w:val="20"/>
                </w:rPr>
                <w:t>(</w:t>
              </w:r>
            </w:hyperlink>
          </w:p>
        </w:tc>
        <w:tc>
          <w:tcPr>
            <w:tcW w:w="1015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2.500,000</w:t>
            </w:r>
          </w:p>
        </w:tc>
        <w:tc>
          <w:tcPr>
            <w:tcW w:w="970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814,00</w:t>
            </w:r>
          </w:p>
        </w:tc>
        <w:tc>
          <w:tcPr>
            <w:tcW w:w="1275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69</w:t>
            </w:r>
          </w:p>
        </w:tc>
        <w:tc>
          <w:tcPr>
            <w:tcW w:w="760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+28,61%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+47,95%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+0,40%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-15,36%</w:t>
            </w:r>
          </w:p>
        </w:tc>
      </w:tr>
      <w:tr w:rsidR="00077DDC" w:rsidRPr="00B97F0A" w:rsidTr="00B97F0A">
        <w:tc>
          <w:tcPr>
            <w:tcW w:w="817" w:type="dxa"/>
            <w:vAlign w:val="center"/>
          </w:tcPr>
          <w:p w:rsidR="00077DDC" w:rsidRPr="00B97F0A" w:rsidRDefault="00077DDC" w:rsidP="007D0CD7">
            <w:pPr>
              <w:spacing w:after="0"/>
              <w:rPr>
                <w:rFonts w:ascii="Century Gothic" w:hAnsi="Century Gothic"/>
                <w:b/>
                <w:sz w:val="20"/>
                <w:szCs w:val="20"/>
              </w:rPr>
            </w:pPr>
            <w:r w:rsidRPr="00B97F0A">
              <w:rPr>
                <w:rFonts w:ascii="Century Gothic" w:hAnsi="Century Gothic"/>
                <w:b/>
                <w:sz w:val="20"/>
                <w:szCs w:val="20"/>
              </w:rPr>
              <w:t>QFARI</w:t>
            </w:r>
          </w:p>
        </w:tc>
        <w:tc>
          <w:tcPr>
            <w:tcW w:w="2268" w:type="dxa"/>
            <w:vAlign w:val="center"/>
          </w:tcPr>
          <w:p w:rsidR="00077DDC" w:rsidRPr="00B97F0A" w:rsidRDefault="00077DDC" w:rsidP="007D0CD7">
            <w:pPr>
              <w:spacing w:after="0"/>
              <w:ind w:right="-104"/>
              <w:rPr>
                <w:rFonts w:ascii="Century Gothic" w:hAnsi="Century Gothic"/>
                <w:sz w:val="20"/>
                <w:szCs w:val="20"/>
              </w:rPr>
            </w:pPr>
            <w:hyperlink r:id="rId19" w:history="1">
              <w:proofErr w:type="spellStart"/>
              <w:r w:rsidRPr="00B97F0A">
                <w:rPr>
                  <w:rStyle w:val="Collegamentoipertestuale"/>
                  <w:rFonts w:ascii="Century Gothic" w:hAnsi="Century Gothic"/>
                  <w:sz w:val="20"/>
                  <w:szCs w:val="20"/>
                </w:rPr>
                <w:t>Amundi</w:t>
              </w:r>
              <w:proofErr w:type="spellEnd"/>
              <w:r w:rsidRPr="00B97F0A">
                <w:rPr>
                  <w:rStyle w:val="Collegamentoipertestuale"/>
                  <w:rFonts w:ascii="Century Gothic" w:hAnsi="Century Gothic"/>
                  <w:sz w:val="20"/>
                  <w:szCs w:val="20"/>
                </w:rPr>
                <w:t xml:space="preserve"> RE Italia </w:t>
              </w:r>
              <w:r w:rsidRPr="00B97F0A">
                <w:rPr>
                  <w:rStyle w:val="Collegamentoipertestuale"/>
                  <w:rFonts w:ascii="Century Gothic" w:hAnsi="Century Gothic"/>
                  <w:color w:val="FFFFFF"/>
                  <w:sz w:val="20"/>
                  <w:szCs w:val="20"/>
                </w:rPr>
                <w:t>(</w:t>
              </w:r>
            </w:hyperlink>
          </w:p>
        </w:tc>
        <w:tc>
          <w:tcPr>
            <w:tcW w:w="1015" w:type="dxa"/>
            <w:vAlign w:val="center"/>
          </w:tcPr>
          <w:p w:rsidR="00077DDC" w:rsidRPr="00B97F0A" w:rsidRDefault="00077DDC" w:rsidP="007D0CD7">
            <w:pPr>
              <w:spacing w:after="0"/>
              <w:ind w:right="-104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2.500,000</w:t>
            </w:r>
          </w:p>
        </w:tc>
        <w:tc>
          <w:tcPr>
            <w:tcW w:w="970" w:type="dxa"/>
            <w:vAlign w:val="center"/>
          </w:tcPr>
          <w:p w:rsidR="00077DDC" w:rsidRPr="00B97F0A" w:rsidRDefault="00077DDC" w:rsidP="007D0CD7">
            <w:pPr>
              <w:spacing w:after="0"/>
              <w:ind w:right="-104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989,00</w:t>
            </w:r>
          </w:p>
        </w:tc>
        <w:tc>
          <w:tcPr>
            <w:tcW w:w="1275" w:type="dxa"/>
            <w:vAlign w:val="center"/>
          </w:tcPr>
          <w:p w:rsidR="00077DDC" w:rsidRPr="00B97F0A" w:rsidRDefault="00077DDC" w:rsidP="007D0CD7">
            <w:pPr>
              <w:spacing w:after="0"/>
              <w:ind w:right="-104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66</w:t>
            </w:r>
          </w:p>
        </w:tc>
        <w:tc>
          <w:tcPr>
            <w:tcW w:w="760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+21,03%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+9,33%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-7,02%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-10,08%</w:t>
            </w:r>
          </w:p>
        </w:tc>
      </w:tr>
      <w:tr w:rsidR="00077DDC" w:rsidRPr="00B97F0A" w:rsidTr="00B97F0A">
        <w:tc>
          <w:tcPr>
            <w:tcW w:w="817" w:type="dxa"/>
            <w:vAlign w:val="center"/>
          </w:tcPr>
          <w:p w:rsidR="00077DDC" w:rsidRPr="00B97F0A" w:rsidRDefault="00077DDC" w:rsidP="007D0CD7">
            <w:pPr>
              <w:spacing w:after="0"/>
              <w:rPr>
                <w:rFonts w:ascii="Century Gothic" w:hAnsi="Century Gothic"/>
                <w:b/>
                <w:sz w:val="20"/>
                <w:szCs w:val="20"/>
              </w:rPr>
            </w:pPr>
            <w:r w:rsidRPr="00B97F0A">
              <w:rPr>
                <w:rFonts w:ascii="Century Gothic" w:hAnsi="Century Gothic"/>
                <w:b/>
                <w:sz w:val="20"/>
                <w:szCs w:val="20"/>
              </w:rPr>
              <w:t>QFATL</w:t>
            </w:r>
          </w:p>
        </w:tc>
        <w:tc>
          <w:tcPr>
            <w:tcW w:w="2268" w:type="dxa"/>
            <w:vAlign w:val="center"/>
          </w:tcPr>
          <w:p w:rsidR="00077DDC" w:rsidRPr="00B97F0A" w:rsidRDefault="00077DDC" w:rsidP="007D0CD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hyperlink r:id="rId20" w:history="1">
              <w:r w:rsidRPr="00B97F0A">
                <w:rPr>
                  <w:rStyle w:val="Collegamentoipertestuale"/>
                  <w:rFonts w:ascii="Century Gothic" w:hAnsi="Century Gothic"/>
                  <w:sz w:val="20"/>
                  <w:szCs w:val="20"/>
                </w:rPr>
                <w:t>Fondo ATLANTIC 1</w:t>
              </w:r>
            </w:hyperlink>
          </w:p>
        </w:tc>
        <w:tc>
          <w:tcPr>
            <w:tcW w:w="1015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500,000</w:t>
            </w:r>
          </w:p>
        </w:tc>
        <w:tc>
          <w:tcPr>
            <w:tcW w:w="970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248,40</w:t>
            </w:r>
          </w:p>
        </w:tc>
        <w:tc>
          <w:tcPr>
            <w:tcW w:w="1275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130</w:t>
            </w:r>
          </w:p>
        </w:tc>
        <w:tc>
          <w:tcPr>
            <w:tcW w:w="760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+49,12%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+14,29%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-16,25%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+3,01%</w:t>
            </w:r>
          </w:p>
        </w:tc>
      </w:tr>
      <w:tr w:rsidR="00077DDC" w:rsidRPr="00B97F0A" w:rsidTr="00B97F0A">
        <w:tc>
          <w:tcPr>
            <w:tcW w:w="817" w:type="dxa"/>
            <w:vAlign w:val="center"/>
          </w:tcPr>
          <w:p w:rsidR="00077DDC" w:rsidRPr="00B97F0A" w:rsidRDefault="00077DDC" w:rsidP="007D0CD7">
            <w:pPr>
              <w:spacing w:after="0"/>
              <w:rPr>
                <w:rFonts w:ascii="Century Gothic" w:hAnsi="Century Gothic"/>
                <w:b/>
                <w:sz w:val="20"/>
                <w:szCs w:val="20"/>
              </w:rPr>
            </w:pPr>
            <w:r w:rsidRPr="00B97F0A">
              <w:rPr>
                <w:rFonts w:ascii="Century Gothic" w:hAnsi="Century Gothic"/>
                <w:b/>
                <w:sz w:val="20"/>
                <w:szCs w:val="20"/>
              </w:rPr>
              <w:t>QFATL2</w:t>
            </w:r>
          </w:p>
        </w:tc>
        <w:tc>
          <w:tcPr>
            <w:tcW w:w="2268" w:type="dxa"/>
            <w:vAlign w:val="center"/>
          </w:tcPr>
          <w:p w:rsidR="00077DDC" w:rsidRPr="00B97F0A" w:rsidRDefault="00077DDC" w:rsidP="007D0CD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hyperlink r:id="rId21" w:history="1">
              <w:r w:rsidRPr="00B97F0A">
                <w:rPr>
                  <w:rStyle w:val="Collegamentoipertestuale"/>
                  <w:rFonts w:ascii="Century Gothic" w:hAnsi="Century Gothic"/>
                  <w:sz w:val="20"/>
                  <w:szCs w:val="20"/>
                </w:rPr>
                <w:t>Fondo Atlantic 2 - Berenice</w:t>
              </w:r>
            </w:hyperlink>
          </w:p>
        </w:tc>
        <w:tc>
          <w:tcPr>
            <w:tcW w:w="1015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500,000</w:t>
            </w:r>
          </w:p>
        </w:tc>
        <w:tc>
          <w:tcPr>
            <w:tcW w:w="970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175,00</w:t>
            </w:r>
          </w:p>
        </w:tc>
        <w:tc>
          <w:tcPr>
            <w:tcW w:w="1275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105</w:t>
            </w:r>
          </w:p>
        </w:tc>
        <w:tc>
          <w:tcPr>
            <w:tcW w:w="760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-1,24%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+9,41%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-14,45%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+1,64%</w:t>
            </w:r>
          </w:p>
        </w:tc>
      </w:tr>
      <w:tr w:rsidR="00077DDC" w:rsidRPr="00B97F0A" w:rsidTr="00B97F0A">
        <w:tc>
          <w:tcPr>
            <w:tcW w:w="817" w:type="dxa"/>
            <w:vAlign w:val="center"/>
          </w:tcPr>
          <w:p w:rsidR="00077DDC" w:rsidRPr="00B97F0A" w:rsidRDefault="00077DDC" w:rsidP="007D0CD7">
            <w:pPr>
              <w:spacing w:after="0"/>
              <w:rPr>
                <w:rFonts w:ascii="Century Gothic" w:hAnsi="Century Gothic"/>
                <w:b/>
                <w:sz w:val="20"/>
                <w:szCs w:val="20"/>
              </w:rPr>
            </w:pPr>
            <w:r w:rsidRPr="00B97F0A">
              <w:rPr>
                <w:rFonts w:ascii="Century Gothic" w:hAnsi="Century Gothic"/>
                <w:b/>
                <w:sz w:val="20"/>
                <w:szCs w:val="20"/>
              </w:rPr>
              <w:t>QFBET</w:t>
            </w:r>
          </w:p>
        </w:tc>
        <w:tc>
          <w:tcPr>
            <w:tcW w:w="2268" w:type="dxa"/>
            <w:vAlign w:val="center"/>
          </w:tcPr>
          <w:p w:rsidR="00077DDC" w:rsidRPr="00B97F0A" w:rsidRDefault="00077DDC" w:rsidP="007D0CD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hyperlink r:id="rId22" w:history="1">
              <w:r w:rsidRPr="00B97F0A">
                <w:rPr>
                  <w:rStyle w:val="Collegamentoipertestuale"/>
                  <w:rFonts w:ascii="Century Gothic" w:hAnsi="Century Gothic"/>
                  <w:sz w:val="20"/>
                  <w:szCs w:val="20"/>
                </w:rPr>
                <w:t>Fondo Beta Immobiliare</w:t>
              </w:r>
            </w:hyperlink>
          </w:p>
        </w:tc>
        <w:tc>
          <w:tcPr>
            <w:tcW w:w="1015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1.100,000</w:t>
            </w:r>
          </w:p>
        </w:tc>
        <w:tc>
          <w:tcPr>
            <w:tcW w:w="970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347,90</w:t>
            </w:r>
          </w:p>
        </w:tc>
        <w:tc>
          <w:tcPr>
            <w:tcW w:w="1275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93</w:t>
            </w:r>
          </w:p>
        </w:tc>
        <w:tc>
          <w:tcPr>
            <w:tcW w:w="760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+8,15%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+11,93%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-22,34%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-9,22%</w:t>
            </w:r>
          </w:p>
        </w:tc>
      </w:tr>
      <w:tr w:rsidR="00077DDC" w:rsidRPr="00B97F0A" w:rsidTr="00B97F0A">
        <w:tc>
          <w:tcPr>
            <w:tcW w:w="817" w:type="dxa"/>
            <w:vAlign w:val="center"/>
          </w:tcPr>
          <w:p w:rsidR="00077DDC" w:rsidRPr="00B97F0A" w:rsidRDefault="00077DDC" w:rsidP="007D0CD7">
            <w:pPr>
              <w:spacing w:after="0"/>
              <w:rPr>
                <w:rFonts w:ascii="Century Gothic" w:hAnsi="Century Gothic"/>
                <w:b/>
                <w:sz w:val="20"/>
                <w:szCs w:val="20"/>
              </w:rPr>
            </w:pPr>
            <w:r w:rsidRPr="00B97F0A">
              <w:rPr>
                <w:rFonts w:ascii="Century Gothic" w:hAnsi="Century Gothic"/>
                <w:b/>
                <w:sz w:val="20"/>
                <w:szCs w:val="20"/>
              </w:rPr>
              <w:t>QFBPI</w:t>
            </w:r>
          </w:p>
        </w:tc>
        <w:tc>
          <w:tcPr>
            <w:tcW w:w="2268" w:type="dxa"/>
            <w:vAlign w:val="center"/>
          </w:tcPr>
          <w:p w:rsidR="00077DDC" w:rsidRPr="00B97F0A" w:rsidRDefault="00077DDC" w:rsidP="007D0CD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hyperlink r:id="rId23" w:history="1">
              <w:r w:rsidRPr="00B97F0A">
                <w:rPr>
                  <w:rStyle w:val="Collegamentoipertestuale"/>
                  <w:rFonts w:ascii="Century Gothic" w:hAnsi="Century Gothic"/>
                  <w:sz w:val="20"/>
                  <w:szCs w:val="20"/>
                </w:rPr>
                <w:t>BNL Portfolio Immobiliare</w:t>
              </w:r>
            </w:hyperlink>
          </w:p>
        </w:tc>
        <w:tc>
          <w:tcPr>
            <w:tcW w:w="1015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2.500,000</w:t>
            </w:r>
          </w:p>
        </w:tc>
        <w:tc>
          <w:tcPr>
            <w:tcW w:w="970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880,00</w:t>
            </w:r>
          </w:p>
        </w:tc>
        <w:tc>
          <w:tcPr>
            <w:tcW w:w="1275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107</w:t>
            </w:r>
          </w:p>
        </w:tc>
        <w:tc>
          <w:tcPr>
            <w:tcW w:w="760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+9,89%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+21,25%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-15,92%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-28,70%</w:t>
            </w:r>
          </w:p>
        </w:tc>
      </w:tr>
      <w:tr w:rsidR="00077DDC" w:rsidRPr="00B97F0A" w:rsidTr="00B97F0A">
        <w:tc>
          <w:tcPr>
            <w:tcW w:w="817" w:type="dxa"/>
            <w:vAlign w:val="center"/>
          </w:tcPr>
          <w:p w:rsidR="00077DDC" w:rsidRPr="00B97F0A" w:rsidRDefault="00077DDC" w:rsidP="007D0CD7">
            <w:pPr>
              <w:spacing w:after="0"/>
              <w:rPr>
                <w:rFonts w:ascii="Century Gothic" w:hAnsi="Century Gothic"/>
                <w:b/>
                <w:sz w:val="20"/>
                <w:szCs w:val="20"/>
              </w:rPr>
            </w:pPr>
            <w:r w:rsidRPr="00B97F0A">
              <w:rPr>
                <w:rFonts w:ascii="Century Gothic" w:hAnsi="Century Gothic"/>
                <w:b/>
                <w:sz w:val="20"/>
                <w:szCs w:val="20"/>
              </w:rPr>
              <w:t>QFDI</w:t>
            </w:r>
          </w:p>
        </w:tc>
        <w:tc>
          <w:tcPr>
            <w:tcW w:w="2268" w:type="dxa"/>
            <w:vAlign w:val="center"/>
          </w:tcPr>
          <w:p w:rsidR="00077DDC" w:rsidRPr="00B97F0A" w:rsidRDefault="00077DDC" w:rsidP="007D0CD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hyperlink r:id="rId24" w:history="1">
              <w:r w:rsidRPr="00B97F0A">
                <w:rPr>
                  <w:rStyle w:val="Collegamentoipertestuale"/>
                  <w:rFonts w:ascii="Century Gothic" w:hAnsi="Century Gothic"/>
                  <w:sz w:val="20"/>
                  <w:szCs w:val="20"/>
                </w:rPr>
                <w:t>Delta Immobiliare</w:t>
              </w:r>
            </w:hyperlink>
          </w:p>
        </w:tc>
        <w:tc>
          <w:tcPr>
            <w:tcW w:w="1015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100,000</w:t>
            </w:r>
          </w:p>
        </w:tc>
        <w:tc>
          <w:tcPr>
            <w:tcW w:w="970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28,25</w:t>
            </w:r>
          </w:p>
        </w:tc>
        <w:tc>
          <w:tcPr>
            <w:tcW w:w="1275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59</w:t>
            </w:r>
          </w:p>
        </w:tc>
        <w:tc>
          <w:tcPr>
            <w:tcW w:w="760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-7,84%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+1,38%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-14,91%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-54,77%</w:t>
            </w:r>
          </w:p>
        </w:tc>
      </w:tr>
      <w:tr w:rsidR="00077DDC" w:rsidRPr="00B97F0A" w:rsidTr="00B97F0A">
        <w:tc>
          <w:tcPr>
            <w:tcW w:w="817" w:type="dxa"/>
            <w:vAlign w:val="center"/>
          </w:tcPr>
          <w:p w:rsidR="00077DDC" w:rsidRPr="00B97F0A" w:rsidRDefault="00077DDC" w:rsidP="007D0CD7">
            <w:pPr>
              <w:spacing w:after="0"/>
              <w:rPr>
                <w:rFonts w:ascii="Century Gothic" w:hAnsi="Century Gothic"/>
                <w:b/>
                <w:sz w:val="20"/>
                <w:szCs w:val="20"/>
              </w:rPr>
            </w:pPr>
            <w:r w:rsidRPr="00B97F0A">
              <w:rPr>
                <w:rFonts w:ascii="Century Gothic" w:hAnsi="Century Gothic"/>
                <w:b/>
                <w:sz w:val="20"/>
                <w:szCs w:val="20"/>
              </w:rPr>
              <w:t>QFEGD</w:t>
            </w:r>
          </w:p>
        </w:tc>
        <w:tc>
          <w:tcPr>
            <w:tcW w:w="2268" w:type="dxa"/>
            <w:vAlign w:val="center"/>
          </w:tcPr>
          <w:p w:rsidR="00077DDC" w:rsidRPr="00B97F0A" w:rsidRDefault="00077DDC" w:rsidP="007D0CD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hyperlink r:id="rId25" w:history="1">
              <w:r w:rsidRPr="00B97F0A">
                <w:rPr>
                  <w:rStyle w:val="Collegamentoipertestuale"/>
                  <w:rFonts w:ascii="Century Gothic" w:hAnsi="Century Gothic"/>
                  <w:sz w:val="20"/>
                  <w:szCs w:val="20"/>
                </w:rPr>
                <w:t>Estense Grande Distribuzione</w:t>
              </w:r>
            </w:hyperlink>
          </w:p>
        </w:tc>
        <w:tc>
          <w:tcPr>
            <w:tcW w:w="1015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2.500,000</w:t>
            </w:r>
          </w:p>
        </w:tc>
        <w:tc>
          <w:tcPr>
            <w:tcW w:w="970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2.100,00</w:t>
            </w:r>
          </w:p>
        </w:tc>
        <w:tc>
          <w:tcPr>
            <w:tcW w:w="1275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174</w:t>
            </w:r>
          </w:p>
        </w:tc>
        <w:tc>
          <w:tcPr>
            <w:tcW w:w="760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+36,52%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+49,19%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+26,89%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+42,71%</w:t>
            </w:r>
          </w:p>
        </w:tc>
      </w:tr>
      <w:tr w:rsidR="00077DDC" w:rsidRPr="00B97F0A" w:rsidTr="00B97F0A">
        <w:tc>
          <w:tcPr>
            <w:tcW w:w="817" w:type="dxa"/>
            <w:vAlign w:val="center"/>
          </w:tcPr>
          <w:p w:rsidR="00077DDC" w:rsidRPr="00B97F0A" w:rsidRDefault="00077DDC" w:rsidP="007D0CD7">
            <w:pPr>
              <w:spacing w:after="0"/>
              <w:rPr>
                <w:rFonts w:ascii="Century Gothic" w:hAnsi="Century Gothic"/>
                <w:b/>
                <w:sz w:val="20"/>
                <w:szCs w:val="20"/>
              </w:rPr>
            </w:pPr>
            <w:r w:rsidRPr="00B97F0A">
              <w:rPr>
                <w:rFonts w:ascii="Century Gothic" w:hAnsi="Century Gothic"/>
                <w:b/>
                <w:sz w:val="20"/>
                <w:szCs w:val="20"/>
              </w:rPr>
              <w:t>QFEI 1</w:t>
            </w:r>
          </w:p>
        </w:tc>
        <w:tc>
          <w:tcPr>
            <w:tcW w:w="2268" w:type="dxa"/>
            <w:vAlign w:val="center"/>
          </w:tcPr>
          <w:p w:rsidR="00077DDC" w:rsidRPr="00B97F0A" w:rsidRDefault="00077DDC" w:rsidP="007D0CD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hyperlink r:id="rId26" w:history="1">
              <w:r w:rsidRPr="00B97F0A">
                <w:rPr>
                  <w:rStyle w:val="Collegamentoipertestuale"/>
                  <w:rFonts w:ascii="Century Gothic" w:hAnsi="Century Gothic"/>
                  <w:sz w:val="20"/>
                  <w:szCs w:val="20"/>
                </w:rPr>
                <w:t>Europa Immobiliare 1</w:t>
              </w:r>
            </w:hyperlink>
          </w:p>
        </w:tc>
        <w:tc>
          <w:tcPr>
            <w:tcW w:w="1015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2.500,000</w:t>
            </w:r>
          </w:p>
        </w:tc>
        <w:tc>
          <w:tcPr>
            <w:tcW w:w="970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442,50</w:t>
            </w:r>
          </w:p>
        </w:tc>
        <w:tc>
          <w:tcPr>
            <w:tcW w:w="1275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50</w:t>
            </w:r>
          </w:p>
        </w:tc>
        <w:tc>
          <w:tcPr>
            <w:tcW w:w="760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-6,80%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-9,78%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-46,13%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-57,90%</w:t>
            </w:r>
          </w:p>
        </w:tc>
      </w:tr>
      <w:tr w:rsidR="00077DDC" w:rsidRPr="00B97F0A" w:rsidTr="00B97F0A">
        <w:tc>
          <w:tcPr>
            <w:tcW w:w="817" w:type="dxa"/>
            <w:vAlign w:val="center"/>
          </w:tcPr>
          <w:p w:rsidR="00077DDC" w:rsidRPr="00B97F0A" w:rsidRDefault="00077DDC" w:rsidP="007D0CD7">
            <w:pPr>
              <w:spacing w:after="0"/>
              <w:rPr>
                <w:rFonts w:ascii="Century Gothic" w:hAnsi="Century Gothic"/>
                <w:b/>
                <w:sz w:val="20"/>
                <w:szCs w:val="20"/>
              </w:rPr>
            </w:pPr>
            <w:r w:rsidRPr="00B97F0A">
              <w:rPr>
                <w:rFonts w:ascii="Century Gothic" w:hAnsi="Century Gothic"/>
                <w:b/>
                <w:sz w:val="20"/>
                <w:szCs w:val="20"/>
              </w:rPr>
              <w:t>QFID</w:t>
            </w:r>
          </w:p>
        </w:tc>
        <w:tc>
          <w:tcPr>
            <w:tcW w:w="2268" w:type="dxa"/>
            <w:vAlign w:val="center"/>
          </w:tcPr>
          <w:p w:rsidR="00077DDC" w:rsidRPr="00B97F0A" w:rsidRDefault="00077DDC" w:rsidP="007D0CD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hyperlink r:id="rId27" w:history="1">
              <w:r w:rsidRPr="00B97F0A">
                <w:rPr>
                  <w:rStyle w:val="Collegamentoipertestuale"/>
                  <w:rFonts w:ascii="Century Gothic" w:hAnsi="Century Gothic"/>
                  <w:sz w:val="20"/>
                  <w:szCs w:val="20"/>
                </w:rPr>
                <w:t>Immobiliare Dinamico</w:t>
              </w:r>
            </w:hyperlink>
          </w:p>
        </w:tc>
        <w:tc>
          <w:tcPr>
            <w:tcW w:w="1015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250,000</w:t>
            </w:r>
          </w:p>
        </w:tc>
        <w:tc>
          <w:tcPr>
            <w:tcW w:w="970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59,90</w:t>
            </w:r>
          </w:p>
        </w:tc>
        <w:tc>
          <w:tcPr>
            <w:tcW w:w="1275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88</w:t>
            </w:r>
          </w:p>
        </w:tc>
        <w:tc>
          <w:tcPr>
            <w:tcW w:w="760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-5,08%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-13,33%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-68,25%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-68,25%</w:t>
            </w:r>
          </w:p>
        </w:tc>
      </w:tr>
      <w:tr w:rsidR="00077DDC" w:rsidRPr="00B97F0A" w:rsidTr="00B97F0A">
        <w:tc>
          <w:tcPr>
            <w:tcW w:w="817" w:type="dxa"/>
            <w:vAlign w:val="center"/>
          </w:tcPr>
          <w:p w:rsidR="00077DDC" w:rsidRPr="00B97F0A" w:rsidRDefault="00077DDC" w:rsidP="007D0CD7">
            <w:pPr>
              <w:spacing w:after="0"/>
              <w:rPr>
                <w:rFonts w:ascii="Century Gothic" w:hAnsi="Century Gothic"/>
                <w:b/>
                <w:sz w:val="20"/>
                <w:szCs w:val="20"/>
              </w:rPr>
            </w:pPr>
            <w:r w:rsidRPr="00B97F0A">
              <w:rPr>
                <w:rFonts w:ascii="Century Gothic" w:hAnsi="Century Gothic"/>
                <w:b/>
                <w:sz w:val="20"/>
                <w:szCs w:val="20"/>
              </w:rPr>
              <w:t>QFIMM</w:t>
            </w:r>
          </w:p>
        </w:tc>
        <w:tc>
          <w:tcPr>
            <w:tcW w:w="2268" w:type="dxa"/>
            <w:vAlign w:val="center"/>
          </w:tcPr>
          <w:p w:rsidR="00077DDC" w:rsidRPr="00B97F0A" w:rsidRDefault="00077DDC" w:rsidP="007D0CD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hyperlink r:id="rId28" w:history="1">
              <w:proofErr w:type="spellStart"/>
              <w:r w:rsidRPr="00B97F0A">
                <w:rPr>
                  <w:rStyle w:val="Collegamentoipertestuale"/>
                  <w:rFonts w:ascii="Century Gothic" w:hAnsi="Century Gothic"/>
                  <w:sz w:val="20"/>
                  <w:szCs w:val="20"/>
                </w:rPr>
                <w:t>Immobilium</w:t>
              </w:r>
              <w:proofErr w:type="spellEnd"/>
              <w:r w:rsidRPr="00B97F0A">
                <w:rPr>
                  <w:rStyle w:val="Collegamentoipertestuale"/>
                  <w:rFonts w:ascii="Century Gothic" w:hAnsi="Century Gothic"/>
                  <w:sz w:val="20"/>
                  <w:szCs w:val="20"/>
                </w:rPr>
                <w:t xml:space="preserve"> 2001</w:t>
              </w:r>
            </w:hyperlink>
          </w:p>
        </w:tc>
        <w:tc>
          <w:tcPr>
            <w:tcW w:w="1015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5.000,000</w:t>
            </w:r>
          </w:p>
        </w:tc>
        <w:tc>
          <w:tcPr>
            <w:tcW w:w="970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1.457,00</w:t>
            </w:r>
          </w:p>
        </w:tc>
        <w:tc>
          <w:tcPr>
            <w:tcW w:w="1275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38</w:t>
            </w:r>
          </w:p>
        </w:tc>
        <w:tc>
          <w:tcPr>
            <w:tcW w:w="760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-5,66%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-3,85%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-39,30%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-45,00%</w:t>
            </w:r>
          </w:p>
        </w:tc>
      </w:tr>
      <w:tr w:rsidR="00077DDC" w:rsidRPr="00B97F0A" w:rsidTr="00B97F0A">
        <w:tc>
          <w:tcPr>
            <w:tcW w:w="817" w:type="dxa"/>
            <w:vAlign w:val="center"/>
          </w:tcPr>
          <w:p w:rsidR="00077DDC" w:rsidRPr="00B97F0A" w:rsidRDefault="00077DDC" w:rsidP="007D0CD7">
            <w:pPr>
              <w:spacing w:after="0"/>
              <w:rPr>
                <w:rFonts w:ascii="Century Gothic" w:hAnsi="Century Gothic"/>
                <w:b/>
                <w:sz w:val="20"/>
                <w:szCs w:val="20"/>
              </w:rPr>
            </w:pPr>
            <w:r w:rsidRPr="00B97F0A">
              <w:rPr>
                <w:rFonts w:ascii="Century Gothic" w:hAnsi="Century Gothic"/>
                <w:b/>
                <w:sz w:val="20"/>
                <w:szCs w:val="20"/>
              </w:rPr>
              <w:t>QFINV</w:t>
            </w:r>
          </w:p>
        </w:tc>
        <w:tc>
          <w:tcPr>
            <w:tcW w:w="2268" w:type="dxa"/>
            <w:vAlign w:val="center"/>
          </w:tcPr>
          <w:p w:rsidR="00077DDC" w:rsidRPr="00B97F0A" w:rsidRDefault="00077DDC" w:rsidP="007D0CD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hyperlink r:id="rId29" w:history="1">
              <w:proofErr w:type="spellStart"/>
              <w:r w:rsidRPr="00B97F0A">
                <w:rPr>
                  <w:rStyle w:val="Collegamentoipertestuale"/>
                  <w:rFonts w:ascii="Century Gothic" w:hAnsi="Century Gothic"/>
                  <w:sz w:val="20"/>
                  <w:szCs w:val="20"/>
                </w:rPr>
                <w:t>Investietico</w:t>
              </w:r>
              <w:proofErr w:type="spellEnd"/>
            </w:hyperlink>
          </w:p>
        </w:tc>
        <w:tc>
          <w:tcPr>
            <w:tcW w:w="1015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2.500,000</w:t>
            </w:r>
          </w:p>
        </w:tc>
        <w:tc>
          <w:tcPr>
            <w:tcW w:w="970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1.491,00</w:t>
            </w:r>
          </w:p>
        </w:tc>
        <w:tc>
          <w:tcPr>
            <w:tcW w:w="1275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92</w:t>
            </w:r>
          </w:p>
        </w:tc>
        <w:tc>
          <w:tcPr>
            <w:tcW w:w="760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+24,00%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+41,44%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+12,22%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+26,36%</w:t>
            </w:r>
          </w:p>
        </w:tc>
      </w:tr>
      <w:tr w:rsidR="00077DDC" w:rsidRPr="00B97F0A" w:rsidTr="00B97F0A">
        <w:tc>
          <w:tcPr>
            <w:tcW w:w="817" w:type="dxa"/>
            <w:vAlign w:val="center"/>
          </w:tcPr>
          <w:p w:rsidR="00077DDC" w:rsidRPr="00B97F0A" w:rsidRDefault="00077DDC" w:rsidP="007D0CD7">
            <w:pPr>
              <w:spacing w:after="0"/>
              <w:rPr>
                <w:rFonts w:ascii="Century Gothic" w:hAnsi="Century Gothic"/>
                <w:b/>
                <w:sz w:val="20"/>
                <w:szCs w:val="20"/>
              </w:rPr>
            </w:pPr>
            <w:r w:rsidRPr="00B97F0A">
              <w:rPr>
                <w:rFonts w:ascii="Century Gothic" w:hAnsi="Century Gothic"/>
                <w:b/>
                <w:sz w:val="20"/>
                <w:szCs w:val="20"/>
              </w:rPr>
              <w:t>QFIRS</w:t>
            </w:r>
          </w:p>
        </w:tc>
        <w:tc>
          <w:tcPr>
            <w:tcW w:w="2268" w:type="dxa"/>
            <w:vAlign w:val="center"/>
          </w:tcPr>
          <w:p w:rsidR="00077DDC" w:rsidRPr="00B97F0A" w:rsidRDefault="00077DDC" w:rsidP="007D0CD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hyperlink r:id="rId30" w:history="1">
              <w:proofErr w:type="spellStart"/>
              <w:r w:rsidRPr="00B97F0A">
                <w:rPr>
                  <w:rStyle w:val="Collegamentoipertestuale"/>
                  <w:rFonts w:ascii="Century Gothic" w:hAnsi="Century Gothic"/>
                  <w:sz w:val="20"/>
                  <w:szCs w:val="20"/>
                </w:rPr>
                <w:t>Invest</w:t>
              </w:r>
              <w:proofErr w:type="spellEnd"/>
              <w:r w:rsidRPr="00B97F0A">
                <w:rPr>
                  <w:rStyle w:val="Collegamentoipertestuale"/>
                  <w:rFonts w:ascii="Century Gothic" w:hAnsi="Century Gothic"/>
                  <w:sz w:val="20"/>
                  <w:szCs w:val="20"/>
                </w:rPr>
                <w:t xml:space="preserve"> Real Security</w:t>
              </w:r>
            </w:hyperlink>
          </w:p>
        </w:tc>
        <w:tc>
          <w:tcPr>
            <w:tcW w:w="1015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2.500,000</w:t>
            </w:r>
          </w:p>
        </w:tc>
        <w:tc>
          <w:tcPr>
            <w:tcW w:w="970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1.040,00</w:t>
            </w:r>
          </w:p>
        </w:tc>
        <w:tc>
          <w:tcPr>
            <w:tcW w:w="1275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59</w:t>
            </w:r>
          </w:p>
        </w:tc>
        <w:tc>
          <w:tcPr>
            <w:tcW w:w="760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+3,60%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+8,04%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-20,46%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-39,93%</w:t>
            </w:r>
          </w:p>
        </w:tc>
      </w:tr>
      <w:tr w:rsidR="00077DDC" w:rsidRPr="00B97F0A" w:rsidTr="00B97F0A">
        <w:tc>
          <w:tcPr>
            <w:tcW w:w="817" w:type="dxa"/>
            <w:vAlign w:val="center"/>
          </w:tcPr>
          <w:p w:rsidR="00077DDC" w:rsidRPr="00B97F0A" w:rsidRDefault="00077DDC" w:rsidP="007D0CD7">
            <w:pPr>
              <w:spacing w:after="0"/>
              <w:rPr>
                <w:rFonts w:ascii="Century Gothic" w:hAnsi="Century Gothic"/>
                <w:b/>
                <w:sz w:val="20"/>
                <w:szCs w:val="20"/>
              </w:rPr>
            </w:pPr>
            <w:r w:rsidRPr="00B97F0A">
              <w:rPr>
                <w:rFonts w:ascii="Century Gothic" w:hAnsi="Century Gothic"/>
                <w:b/>
                <w:sz w:val="20"/>
                <w:szCs w:val="20"/>
              </w:rPr>
              <w:t>QFOBE</w:t>
            </w:r>
          </w:p>
        </w:tc>
        <w:tc>
          <w:tcPr>
            <w:tcW w:w="2268" w:type="dxa"/>
            <w:vAlign w:val="center"/>
          </w:tcPr>
          <w:p w:rsidR="00077DDC" w:rsidRPr="00B97F0A" w:rsidRDefault="00077DDC" w:rsidP="007D0CD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hyperlink r:id="rId31" w:history="1">
              <w:r w:rsidRPr="00B97F0A">
                <w:rPr>
                  <w:rStyle w:val="Collegamentoipertestuale"/>
                  <w:rFonts w:ascii="Century Gothic" w:hAnsi="Century Gothic"/>
                  <w:sz w:val="20"/>
                  <w:szCs w:val="20"/>
                </w:rPr>
                <w:t>Obelisco</w:t>
              </w:r>
            </w:hyperlink>
          </w:p>
        </w:tc>
        <w:tc>
          <w:tcPr>
            <w:tcW w:w="1015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2.500,000</w:t>
            </w:r>
          </w:p>
        </w:tc>
        <w:tc>
          <w:tcPr>
            <w:tcW w:w="970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601,50</w:t>
            </w:r>
          </w:p>
        </w:tc>
        <w:tc>
          <w:tcPr>
            <w:tcW w:w="1275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41</w:t>
            </w:r>
          </w:p>
        </w:tc>
        <w:tc>
          <w:tcPr>
            <w:tcW w:w="760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-4,96%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-6,43%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-42,25%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-57,70%</w:t>
            </w:r>
          </w:p>
        </w:tc>
      </w:tr>
      <w:tr w:rsidR="00077DDC" w:rsidRPr="00B97F0A" w:rsidTr="00B97F0A">
        <w:tc>
          <w:tcPr>
            <w:tcW w:w="817" w:type="dxa"/>
            <w:vAlign w:val="center"/>
          </w:tcPr>
          <w:p w:rsidR="00077DDC" w:rsidRPr="00B97F0A" w:rsidRDefault="00077DDC" w:rsidP="007D0CD7">
            <w:pPr>
              <w:spacing w:after="0"/>
              <w:rPr>
                <w:rFonts w:ascii="Century Gothic" w:hAnsi="Century Gothic"/>
                <w:b/>
                <w:sz w:val="20"/>
                <w:szCs w:val="20"/>
              </w:rPr>
            </w:pPr>
            <w:r w:rsidRPr="00B97F0A">
              <w:rPr>
                <w:rFonts w:ascii="Century Gothic" w:hAnsi="Century Gothic"/>
                <w:b/>
                <w:sz w:val="20"/>
                <w:szCs w:val="20"/>
              </w:rPr>
              <w:t>QFOLI</w:t>
            </w:r>
          </w:p>
        </w:tc>
        <w:tc>
          <w:tcPr>
            <w:tcW w:w="2268" w:type="dxa"/>
            <w:vAlign w:val="center"/>
          </w:tcPr>
          <w:p w:rsidR="00077DDC" w:rsidRPr="00B97F0A" w:rsidRDefault="00077DDC" w:rsidP="007D0CD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hyperlink r:id="rId32" w:history="1">
              <w:r w:rsidRPr="00B97F0A">
                <w:rPr>
                  <w:rStyle w:val="Collegamentoipertestuale"/>
                  <w:rFonts w:ascii="Century Gothic" w:hAnsi="Century Gothic"/>
                  <w:sz w:val="20"/>
                  <w:szCs w:val="20"/>
                </w:rPr>
                <w:t>Fondo Olinda</w:t>
              </w:r>
            </w:hyperlink>
          </w:p>
        </w:tc>
        <w:tc>
          <w:tcPr>
            <w:tcW w:w="1015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508,000</w:t>
            </w:r>
          </w:p>
        </w:tc>
        <w:tc>
          <w:tcPr>
            <w:tcW w:w="970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104,80</w:t>
            </w:r>
          </w:p>
        </w:tc>
        <w:tc>
          <w:tcPr>
            <w:tcW w:w="1275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55</w:t>
            </w:r>
          </w:p>
        </w:tc>
        <w:tc>
          <w:tcPr>
            <w:tcW w:w="760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-10,34%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-3,10%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-48,49%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-33,11%</w:t>
            </w:r>
          </w:p>
        </w:tc>
      </w:tr>
      <w:tr w:rsidR="00077DDC" w:rsidRPr="00B97F0A" w:rsidTr="00B97F0A">
        <w:tc>
          <w:tcPr>
            <w:tcW w:w="817" w:type="dxa"/>
            <w:vAlign w:val="center"/>
          </w:tcPr>
          <w:p w:rsidR="00077DDC" w:rsidRPr="00B97F0A" w:rsidRDefault="00077DDC" w:rsidP="007D0CD7">
            <w:pPr>
              <w:spacing w:after="0"/>
              <w:rPr>
                <w:rFonts w:ascii="Century Gothic" w:hAnsi="Century Gothic"/>
                <w:b/>
                <w:sz w:val="20"/>
                <w:szCs w:val="20"/>
              </w:rPr>
            </w:pPr>
            <w:r w:rsidRPr="00B97F0A">
              <w:rPr>
                <w:rFonts w:ascii="Century Gothic" w:hAnsi="Century Gothic"/>
                <w:b/>
                <w:sz w:val="20"/>
                <w:szCs w:val="20"/>
              </w:rPr>
              <w:t>QFPOL</w:t>
            </w:r>
          </w:p>
        </w:tc>
        <w:tc>
          <w:tcPr>
            <w:tcW w:w="2268" w:type="dxa"/>
            <w:vAlign w:val="center"/>
          </w:tcPr>
          <w:p w:rsidR="00077DDC" w:rsidRPr="00B97F0A" w:rsidRDefault="00077DDC" w:rsidP="007D0CD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hyperlink r:id="rId33" w:history="1">
              <w:r w:rsidRPr="00B97F0A">
                <w:rPr>
                  <w:rStyle w:val="Collegamentoipertestuale"/>
                  <w:rFonts w:ascii="Century Gothic" w:hAnsi="Century Gothic"/>
                  <w:sz w:val="20"/>
                  <w:szCs w:val="20"/>
                </w:rPr>
                <w:t>Polis</w:t>
              </w:r>
            </w:hyperlink>
          </w:p>
        </w:tc>
        <w:tc>
          <w:tcPr>
            <w:tcW w:w="1015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2.000,000</w:t>
            </w:r>
          </w:p>
        </w:tc>
        <w:tc>
          <w:tcPr>
            <w:tcW w:w="970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770,50</w:t>
            </w:r>
          </w:p>
        </w:tc>
        <w:tc>
          <w:tcPr>
            <w:tcW w:w="1275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99</w:t>
            </w:r>
          </w:p>
        </w:tc>
        <w:tc>
          <w:tcPr>
            <w:tcW w:w="760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+24,88%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+30,61%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-35,89%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-33,52%</w:t>
            </w:r>
          </w:p>
        </w:tc>
      </w:tr>
      <w:tr w:rsidR="00077DDC" w:rsidRPr="00B97F0A" w:rsidTr="00B97F0A">
        <w:tc>
          <w:tcPr>
            <w:tcW w:w="817" w:type="dxa"/>
            <w:vAlign w:val="center"/>
          </w:tcPr>
          <w:p w:rsidR="00077DDC" w:rsidRPr="00B97F0A" w:rsidRDefault="00077DDC" w:rsidP="007D0CD7">
            <w:pPr>
              <w:spacing w:after="0"/>
              <w:rPr>
                <w:rFonts w:ascii="Century Gothic" w:hAnsi="Century Gothic"/>
                <w:b/>
                <w:sz w:val="20"/>
                <w:szCs w:val="20"/>
              </w:rPr>
            </w:pPr>
            <w:r w:rsidRPr="00B97F0A">
              <w:rPr>
                <w:rFonts w:ascii="Century Gothic" w:hAnsi="Century Gothic"/>
                <w:b/>
                <w:sz w:val="20"/>
                <w:szCs w:val="20"/>
              </w:rPr>
              <w:t>QFRIE</w:t>
            </w:r>
          </w:p>
        </w:tc>
        <w:tc>
          <w:tcPr>
            <w:tcW w:w="2268" w:type="dxa"/>
            <w:vAlign w:val="center"/>
          </w:tcPr>
          <w:p w:rsidR="00077DDC" w:rsidRPr="00B97F0A" w:rsidRDefault="00077DDC" w:rsidP="007D0CD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hyperlink r:id="rId34" w:history="1">
              <w:r w:rsidRPr="00B97F0A">
                <w:rPr>
                  <w:rStyle w:val="Collegamentoipertestuale"/>
                  <w:rFonts w:ascii="Century Gothic" w:hAnsi="Century Gothic"/>
                  <w:sz w:val="20"/>
                  <w:szCs w:val="20"/>
                </w:rPr>
                <w:t>Risparmio Imm.re Uno Energia</w:t>
              </w:r>
            </w:hyperlink>
          </w:p>
        </w:tc>
        <w:tc>
          <w:tcPr>
            <w:tcW w:w="1015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10.000,000</w:t>
            </w:r>
          </w:p>
        </w:tc>
        <w:tc>
          <w:tcPr>
            <w:tcW w:w="970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6.900,00</w:t>
            </w:r>
          </w:p>
        </w:tc>
        <w:tc>
          <w:tcPr>
            <w:tcW w:w="1275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55</w:t>
            </w:r>
          </w:p>
        </w:tc>
        <w:tc>
          <w:tcPr>
            <w:tcW w:w="760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+0,73%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-18,63%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-30,86%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-31,00%</w:t>
            </w:r>
          </w:p>
        </w:tc>
      </w:tr>
      <w:tr w:rsidR="00077DDC" w:rsidRPr="00B97F0A" w:rsidTr="00B97F0A">
        <w:tc>
          <w:tcPr>
            <w:tcW w:w="817" w:type="dxa"/>
            <w:vAlign w:val="center"/>
          </w:tcPr>
          <w:p w:rsidR="00077DDC" w:rsidRPr="00B97F0A" w:rsidRDefault="00077DDC" w:rsidP="007D0CD7">
            <w:pPr>
              <w:spacing w:after="0"/>
              <w:rPr>
                <w:rFonts w:ascii="Century Gothic" w:hAnsi="Century Gothic"/>
                <w:b/>
                <w:sz w:val="20"/>
                <w:szCs w:val="20"/>
              </w:rPr>
            </w:pPr>
            <w:r w:rsidRPr="00B97F0A">
              <w:rPr>
                <w:rFonts w:ascii="Century Gothic" w:hAnsi="Century Gothic"/>
                <w:b/>
                <w:sz w:val="20"/>
                <w:szCs w:val="20"/>
              </w:rPr>
              <w:t>QFSEC</w:t>
            </w:r>
          </w:p>
        </w:tc>
        <w:tc>
          <w:tcPr>
            <w:tcW w:w="2268" w:type="dxa"/>
            <w:vAlign w:val="center"/>
          </w:tcPr>
          <w:p w:rsidR="00077DDC" w:rsidRPr="00B97F0A" w:rsidRDefault="00077DDC" w:rsidP="007D0CD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hyperlink r:id="rId35" w:history="1">
              <w:proofErr w:type="spellStart"/>
              <w:r w:rsidRPr="00B97F0A">
                <w:rPr>
                  <w:rStyle w:val="Collegamentoipertestuale"/>
                  <w:rFonts w:ascii="Century Gothic" w:hAnsi="Century Gothic"/>
                  <w:sz w:val="20"/>
                  <w:szCs w:val="20"/>
                </w:rPr>
                <w:t>Securfondo</w:t>
              </w:r>
              <w:proofErr w:type="spellEnd"/>
            </w:hyperlink>
          </w:p>
        </w:tc>
        <w:tc>
          <w:tcPr>
            <w:tcW w:w="1015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2.500,000</w:t>
            </w:r>
          </w:p>
        </w:tc>
        <w:tc>
          <w:tcPr>
            <w:tcW w:w="970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1.175,00</w:t>
            </w:r>
          </w:p>
        </w:tc>
        <w:tc>
          <w:tcPr>
            <w:tcW w:w="1275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71</w:t>
            </w:r>
          </w:p>
        </w:tc>
        <w:tc>
          <w:tcPr>
            <w:tcW w:w="760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+9,44%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+3,81%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-12,72%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-3,60%</w:t>
            </w:r>
          </w:p>
        </w:tc>
      </w:tr>
      <w:tr w:rsidR="00077DDC" w:rsidRPr="00B97F0A" w:rsidTr="00B97F0A">
        <w:tc>
          <w:tcPr>
            <w:tcW w:w="817" w:type="dxa"/>
            <w:vAlign w:val="center"/>
          </w:tcPr>
          <w:p w:rsidR="00077DDC" w:rsidRPr="00B97F0A" w:rsidRDefault="00077DDC" w:rsidP="007D0CD7">
            <w:pPr>
              <w:spacing w:after="0"/>
              <w:rPr>
                <w:rFonts w:ascii="Century Gothic" w:hAnsi="Century Gothic"/>
                <w:b/>
                <w:sz w:val="20"/>
                <w:szCs w:val="20"/>
              </w:rPr>
            </w:pPr>
            <w:r w:rsidRPr="00B97F0A">
              <w:rPr>
                <w:rFonts w:ascii="Century Gothic" w:hAnsi="Century Gothic"/>
                <w:b/>
                <w:sz w:val="20"/>
                <w:szCs w:val="20"/>
              </w:rPr>
              <w:t>QFTEC</w:t>
            </w:r>
          </w:p>
        </w:tc>
        <w:tc>
          <w:tcPr>
            <w:tcW w:w="2268" w:type="dxa"/>
            <w:vAlign w:val="center"/>
          </w:tcPr>
          <w:p w:rsidR="00077DDC" w:rsidRPr="00B97F0A" w:rsidRDefault="00077DDC" w:rsidP="007D0CD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hyperlink r:id="rId36" w:history="1">
              <w:r w:rsidRPr="00B97F0A">
                <w:rPr>
                  <w:rStyle w:val="Collegamentoipertestuale"/>
                  <w:rFonts w:ascii="Century Gothic" w:hAnsi="Century Gothic"/>
                  <w:sz w:val="20"/>
                  <w:szCs w:val="20"/>
                </w:rPr>
                <w:t>Fondo Tecla</w:t>
              </w:r>
            </w:hyperlink>
          </w:p>
        </w:tc>
        <w:tc>
          <w:tcPr>
            <w:tcW w:w="1015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500,000</w:t>
            </w:r>
          </w:p>
        </w:tc>
        <w:tc>
          <w:tcPr>
            <w:tcW w:w="970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148,00</w:t>
            </w:r>
          </w:p>
        </w:tc>
        <w:tc>
          <w:tcPr>
            <w:tcW w:w="1275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96</w:t>
            </w:r>
          </w:p>
        </w:tc>
        <w:tc>
          <w:tcPr>
            <w:tcW w:w="760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-3,25%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-29,28%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-26,58%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-16,94%</w:t>
            </w:r>
          </w:p>
        </w:tc>
      </w:tr>
      <w:tr w:rsidR="00077DDC" w:rsidRPr="00B97F0A" w:rsidTr="00B97F0A">
        <w:tc>
          <w:tcPr>
            <w:tcW w:w="817" w:type="dxa"/>
            <w:vAlign w:val="center"/>
          </w:tcPr>
          <w:p w:rsidR="00077DDC" w:rsidRPr="00B97F0A" w:rsidRDefault="00077DDC" w:rsidP="007D0CD7">
            <w:pPr>
              <w:spacing w:after="0"/>
              <w:rPr>
                <w:rFonts w:ascii="Century Gothic" w:hAnsi="Century Gothic"/>
                <w:b/>
                <w:sz w:val="20"/>
                <w:szCs w:val="20"/>
              </w:rPr>
            </w:pPr>
            <w:r w:rsidRPr="00B97F0A">
              <w:rPr>
                <w:rFonts w:ascii="Century Gothic" w:hAnsi="Century Gothic"/>
                <w:b/>
                <w:sz w:val="20"/>
                <w:szCs w:val="20"/>
              </w:rPr>
              <w:t>QFUNO</w:t>
            </w:r>
          </w:p>
        </w:tc>
        <w:tc>
          <w:tcPr>
            <w:tcW w:w="2268" w:type="dxa"/>
            <w:vAlign w:val="center"/>
          </w:tcPr>
          <w:p w:rsidR="00077DDC" w:rsidRPr="00B97F0A" w:rsidRDefault="00077DDC" w:rsidP="007D0CD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hyperlink r:id="rId37" w:history="1">
              <w:r w:rsidRPr="00B97F0A">
                <w:rPr>
                  <w:rStyle w:val="Collegamentoipertestuale"/>
                  <w:rFonts w:ascii="Century Gothic" w:hAnsi="Century Gothic"/>
                  <w:sz w:val="20"/>
                  <w:szCs w:val="20"/>
                </w:rPr>
                <w:t>UniCredito Immobiliare Uno</w:t>
              </w:r>
            </w:hyperlink>
          </w:p>
        </w:tc>
        <w:tc>
          <w:tcPr>
            <w:tcW w:w="1015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2.500,000</w:t>
            </w:r>
          </w:p>
        </w:tc>
        <w:tc>
          <w:tcPr>
            <w:tcW w:w="970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1.463,00</w:t>
            </w:r>
          </w:p>
        </w:tc>
        <w:tc>
          <w:tcPr>
            <w:tcW w:w="1275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234</w:t>
            </w:r>
          </w:p>
        </w:tc>
        <w:tc>
          <w:tcPr>
            <w:tcW w:w="760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+7,50%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+2,99%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-6,53%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-6,33%</w:t>
            </w:r>
          </w:p>
        </w:tc>
      </w:tr>
      <w:tr w:rsidR="00077DDC" w:rsidRPr="00B97F0A" w:rsidTr="00B97F0A">
        <w:tc>
          <w:tcPr>
            <w:tcW w:w="817" w:type="dxa"/>
            <w:vAlign w:val="center"/>
          </w:tcPr>
          <w:p w:rsidR="00077DDC" w:rsidRPr="00B97F0A" w:rsidRDefault="00077DDC" w:rsidP="007D0CD7">
            <w:pPr>
              <w:spacing w:after="0"/>
              <w:rPr>
                <w:rFonts w:ascii="Century Gothic" w:hAnsi="Century Gothic"/>
                <w:b/>
                <w:sz w:val="20"/>
                <w:szCs w:val="20"/>
              </w:rPr>
            </w:pPr>
            <w:r w:rsidRPr="00B97F0A">
              <w:rPr>
                <w:rFonts w:ascii="Century Gothic" w:hAnsi="Century Gothic"/>
                <w:b/>
                <w:sz w:val="20"/>
                <w:szCs w:val="20"/>
              </w:rPr>
              <w:t>QFVIG</w:t>
            </w:r>
          </w:p>
        </w:tc>
        <w:tc>
          <w:tcPr>
            <w:tcW w:w="2268" w:type="dxa"/>
            <w:vAlign w:val="center"/>
          </w:tcPr>
          <w:p w:rsidR="00077DDC" w:rsidRPr="00B97F0A" w:rsidRDefault="00077DDC" w:rsidP="007D0CD7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hyperlink r:id="rId38" w:history="1">
              <w:r w:rsidRPr="00B97F0A">
                <w:rPr>
                  <w:rStyle w:val="Collegamentoipertestuale"/>
                  <w:rFonts w:ascii="Century Gothic" w:hAnsi="Century Gothic"/>
                  <w:sz w:val="20"/>
                  <w:szCs w:val="20"/>
                </w:rPr>
                <w:t>Valore Immobiliare Globale</w:t>
              </w:r>
            </w:hyperlink>
          </w:p>
        </w:tc>
        <w:tc>
          <w:tcPr>
            <w:tcW w:w="1015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5.164,570</w:t>
            </w:r>
          </w:p>
        </w:tc>
        <w:tc>
          <w:tcPr>
            <w:tcW w:w="970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1.520,00</w:t>
            </w:r>
          </w:p>
        </w:tc>
        <w:tc>
          <w:tcPr>
            <w:tcW w:w="1275" w:type="dxa"/>
            <w:vAlign w:val="center"/>
          </w:tcPr>
          <w:p w:rsidR="00077DDC" w:rsidRPr="00B97F0A" w:rsidRDefault="00077DDC" w:rsidP="007D0CD7">
            <w:pPr>
              <w:spacing w:after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47</w:t>
            </w:r>
          </w:p>
        </w:tc>
        <w:tc>
          <w:tcPr>
            <w:tcW w:w="760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-11,99%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-7,82%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-37,40%</w:t>
            </w:r>
          </w:p>
        </w:tc>
        <w:tc>
          <w:tcPr>
            <w:tcW w:w="975" w:type="dxa"/>
            <w:vAlign w:val="center"/>
          </w:tcPr>
          <w:p w:rsidR="00077DDC" w:rsidRPr="00B97F0A" w:rsidRDefault="00077DDC" w:rsidP="007D0CD7">
            <w:pPr>
              <w:spacing w:after="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B97F0A">
              <w:rPr>
                <w:rFonts w:ascii="Century Gothic" w:hAnsi="Century Gothic"/>
                <w:sz w:val="20"/>
                <w:szCs w:val="20"/>
              </w:rPr>
              <w:t>-30,64%</w:t>
            </w:r>
          </w:p>
        </w:tc>
      </w:tr>
    </w:tbl>
    <w:p w:rsidR="00176D53" w:rsidRDefault="00176D53" w:rsidP="00176D53"/>
    <w:p w:rsidR="00176D53" w:rsidRDefault="00176D53" w:rsidP="00176D53">
      <w:pPr>
        <w:pStyle w:val="Nessunaspaziatura"/>
        <w:jc w:val="both"/>
      </w:pPr>
      <w:r>
        <w:t>FONDI IMMOBILIARI: NULLA E’ CAMBIATO  DOPO LA REGOLAMENTAZIONE PER SUPERARE IL CRACK DEGLI “ATIPICI” DI SGARLATA,BAGNASCO,CANAVESIO ! INVESTITORI CONTINUANO A PERDERE,QUASI TUTTO !</w:t>
      </w:r>
    </w:p>
    <w:p w:rsidR="00176D53" w:rsidRDefault="00176D53" w:rsidP="00176D53">
      <w:pPr>
        <w:pStyle w:val="Nessunaspaziatura"/>
        <w:jc w:val="both"/>
      </w:pPr>
      <w:r>
        <w:t>NELLE TABELLE I RISULTATI  NEGATIVI DEI FONDI,PIAZZATI COME MIRACOLOSI,CHE PERDONO FINO AL 74%</w:t>
      </w:r>
    </w:p>
    <w:p w:rsidR="00176D53" w:rsidRDefault="00176D53" w:rsidP="00077DDC"/>
    <w:p w:rsidR="00844719" w:rsidRDefault="00176D53" w:rsidP="00844719">
      <w:pPr>
        <w:pStyle w:val="Nessunaspaziatura"/>
        <w:jc w:val="both"/>
      </w:pPr>
      <w:r>
        <w:t xml:space="preserve">    Ancora peggio per i fondi Retail (dedicati ai piccoli investitori)  dopo </w:t>
      </w:r>
      <w:r w:rsidRPr="00176D53">
        <w:t xml:space="preserve"> le dolorose esperienze dei finanzieri d' assalto degli anni 80, </w:t>
      </w:r>
      <w:r w:rsidR="00844719">
        <w:t xml:space="preserve">quali </w:t>
      </w:r>
      <w:r w:rsidRPr="00176D53">
        <w:t xml:space="preserve">Orazio Bagnasco, Luciano </w:t>
      </w:r>
      <w:proofErr w:type="spellStart"/>
      <w:r w:rsidRPr="00176D53">
        <w:t>Sgarlata</w:t>
      </w:r>
      <w:proofErr w:type="spellEnd"/>
      <w:r w:rsidRPr="00176D53">
        <w:t xml:space="preserve"> e i fratelli </w:t>
      </w:r>
      <w:proofErr w:type="spellStart"/>
      <w:r w:rsidRPr="00176D53">
        <w:t>Canavesio</w:t>
      </w:r>
      <w:proofErr w:type="spellEnd"/>
      <w:r w:rsidR="00844719">
        <w:t>, i</w:t>
      </w:r>
      <w:r w:rsidRPr="00176D53">
        <w:t xml:space="preserve"> signori dei titoli «atipici», all' epoca strumenti finanziari nuovi, non regolamentati, che negli anni 80 travolsero decine di l' obbligo di quotare i fondi in Borsa dopo il primo anno e la certificazione semestrale dei prezzi da parte di certificatori indipendenti</w:t>
      </w:r>
      <w:r w:rsidR="00844719">
        <w:t xml:space="preserve">, la certificazione  NAV (net </w:t>
      </w:r>
      <w:proofErr w:type="spellStart"/>
      <w:r w:rsidR="00844719">
        <w:t>asset</w:t>
      </w:r>
      <w:proofErr w:type="spellEnd"/>
      <w:r w:rsidR="00844719">
        <w:t xml:space="preserve"> </w:t>
      </w:r>
      <w:proofErr w:type="spellStart"/>
      <w:r w:rsidR="00844719">
        <w:t>value</w:t>
      </w:r>
      <w:proofErr w:type="spellEnd"/>
      <w:r w:rsidR="00844719">
        <w:t>)</w:t>
      </w:r>
      <w:r w:rsidR="00844719" w:rsidRPr="00844719">
        <w:t xml:space="preserve"> degli esperti</w:t>
      </w:r>
      <w:r w:rsidRPr="00176D53">
        <w:t xml:space="preserve"> </w:t>
      </w:r>
      <w:r w:rsidR="00844719">
        <w:t>, avrebbe dovuto offrire maggiori garanzie agli investitori.</w:t>
      </w:r>
    </w:p>
    <w:p w:rsidR="00844719" w:rsidRDefault="00844719" w:rsidP="00844719">
      <w:pPr>
        <w:pStyle w:val="Nessunaspaziatura"/>
        <w:jc w:val="both"/>
      </w:pPr>
      <w:r>
        <w:t>Ma cupidigia dei gestori ed</w:t>
      </w:r>
      <w:r w:rsidR="00176D53" w:rsidRPr="00176D53">
        <w:t xml:space="preserve"> elevate commissioni di alcuni fondi (in particolare i più vecchi), la scarsa fiducia nelle valutazioni e in alcuni casi la scarsa capacità di alcuni gestori</w:t>
      </w:r>
      <w:r>
        <w:t>, hanno azzerato i rendimenti con perdite fino al 74 per cento.</w:t>
      </w:r>
    </w:p>
    <w:p w:rsidR="00844719" w:rsidRDefault="00844719" w:rsidP="00844719">
      <w:pPr>
        <w:pStyle w:val="Nessunaspaziatura"/>
        <w:jc w:val="both"/>
      </w:pPr>
      <w:r>
        <w:t xml:space="preserve">   Gran</w:t>
      </w:r>
      <w:r w:rsidR="00176D53" w:rsidRPr="00176D53">
        <w:t xml:space="preserve"> parte dei fondi nati nei primi anni 2000 stanno arrivando alla scadenza quindic</w:t>
      </w:r>
      <w:r>
        <w:t xml:space="preserve">inale con perdite che vanno dal 9,67 al 74 per cento: una </w:t>
      </w:r>
      <w:proofErr w:type="spellStart"/>
      <w:r w:rsidRPr="00844719">
        <w:rPr>
          <w:i/>
        </w:rPr>
        <w:t>debacle</w:t>
      </w:r>
      <w:proofErr w:type="spellEnd"/>
      <w:r>
        <w:t xml:space="preserve"> per i  professionisti del risparmio gestito, che hanno illuso migliaia di risparmiatori travolti con la crisi del mercato immobiliare.</w:t>
      </w:r>
    </w:p>
    <w:p w:rsidR="00844719" w:rsidRDefault="00844719" w:rsidP="00176D53">
      <w:pPr>
        <w:jc w:val="center"/>
        <w:rPr>
          <w:rFonts w:eastAsia="Calibri"/>
          <w:b/>
          <w:sz w:val="28"/>
          <w:szCs w:val="28"/>
        </w:rPr>
      </w:pPr>
    </w:p>
    <w:p w:rsidR="00176D53" w:rsidRPr="00176D53" w:rsidRDefault="00176D53" w:rsidP="00176D53">
      <w:pPr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I</w:t>
      </w:r>
      <w:r w:rsidRPr="00176D53">
        <w:rPr>
          <w:rFonts w:eastAsia="Calibri"/>
          <w:b/>
          <w:sz w:val="28"/>
          <w:szCs w:val="28"/>
        </w:rPr>
        <w:t xml:space="preserve"> FONDI RETAIL</w:t>
      </w:r>
    </w:p>
    <w:p w:rsidR="00176D53" w:rsidRPr="00176D53" w:rsidRDefault="00176D53" w:rsidP="00176D53">
      <w:pPr>
        <w:jc w:val="center"/>
        <w:rPr>
          <w:rFonts w:eastAsia="Calibri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4"/>
        <w:gridCol w:w="2444"/>
        <w:gridCol w:w="2445"/>
        <w:gridCol w:w="2445"/>
      </w:tblGrid>
      <w:tr w:rsidR="00176D53" w:rsidRPr="00176D53" w:rsidTr="00C86945"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176D53">
              <w:rPr>
                <w:rFonts w:eastAsia="Calibri"/>
                <w:b/>
                <w:sz w:val="20"/>
                <w:szCs w:val="20"/>
              </w:rPr>
              <w:t>SGR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176D53">
              <w:rPr>
                <w:rFonts w:eastAsia="Calibri"/>
                <w:b/>
                <w:sz w:val="20"/>
                <w:szCs w:val="20"/>
              </w:rPr>
              <w:t>FONDO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176D53">
              <w:rPr>
                <w:rFonts w:eastAsia="Calibri"/>
                <w:b/>
                <w:sz w:val="20"/>
                <w:szCs w:val="20"/>
              </w:rPr>
              <w:t>SCONTO SU NAV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176D53">
              <w:rPr>
                <w:rFonts w:eastAsia="Calibri"/>
                <w:b/>
                <w:sz w:val="20"/>
                <w:szCs w:val="20"/>
              </w:rPr>
              <w:t>ANNI RIMANENTI</w:t>
            </w:r>
          </w:p>
        </w:tc>
      </w:tr>
      <w:tr w:rsidR="00176D53" w:rsidRPr="00176D53" w:rsidTr="00C86945"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color w:val="FF0000"/>
                <w:sz w:val="20"/>
                <w:szCs w:val="20"/>
              </w:rPr>
            </w:pPr>
            <w:proofErr w:type="spellStart"/>
            <w:r w:rsidRPr="00176D53">
              <w:rPr>
                <w:rFonts w:eastAsia="Calibri"/>
                <w:color w:val="FF0000"/>
                <w:sz w:val="20"/>
                <w:szCs w:val="20"/>
              </w:rPr>
              <w:t>Rreef</w:t>
            </w:r>
            <w:proofErr w:type="spellEnd"/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Valore immobiliare globale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-61,55%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1,59</w:t>
            </w:r>
          </w:p>
        </w:tc>
      </w:tr>
      <w:tr w:rsidR="00176D53" w:rsidRPr="00176D53" w:rsidTr="00C86945"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color w:val="FF0000"/>
                <w:sz w:val="20"/>
                <w:szCs w:val="20"/>
              </w:rPr>
            </w:pPr>
            <w:r w:rsidRPr="00176D53">
              <w:rPr>
                <w:rFonts w:eastAsia="Calibri"/>
                <w:color w:val="FF0000"/>
                <w:sz w:val="20"/>
                <w:szCs w:val="20"/>
              </w:rPr>
              <w:t>Beni Stabili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proofErr w:type="spellStart"/>
            <w:r w:rsidRPr="00176D53">
              <w:rPr>
                <w:rFonts w:eastAsia="Calibri"/>
                <w:sz w:val="20"/>
                <w:szCs w:val="20"/>
              </w:rPr>
              <w:t>Securfondo</w:t>
            </w:r>
            <w:proofErr w:type="spellEnd"/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-51,57%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1,59</w:t>
            </w:r>
          </w:p>
        </w:tc>
      </w:tr>
      <w:tr w:rsidR="00176D53" w:rsidRPr="00176D53" w:rsidTr="00C86945"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color w:val="FF0000"/>
                <w:sz w:val="20"/>
                <w:szCs w:val="20"/>
              </w:rPr>
            </w:pPr>
            <w:r w:rsidRPr="00176D53">
              <w:rPr>
                <w:rFonts w:eastAsia="Calibri"/>
                <w:color w:val="FF0000"/>
                <w:sz w:val="20"/>
                <w:szCs w:val="20"/>
              </w:rPr>
              <w:t>Torre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Unicredito Immobiliare Uno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-52,39%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1,59</w:t>
            </w:r>
          </w:p>
        </w:tc>
      </w:tr>
      <w:tr w:rsidR="00176D53" w:rsidRPr="00176D53" w:rsidTr="00C86945"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color w:val="FF0000"/>
                <w:sz w:val="20"/>
                <w:szCs w:val="20"/>
              </w:rPr>
            </w:pPr>
            <w:r w:rsidRPr="00176D53">
              <w:rPr>
                <w:rFonts w:eastAsia="Calibri"/>
                <w:color w:val="FF0000"/>
                <w:sz w:val="20"/>
                <w:szCs w:val="20"/>
              </w:rPr>
              <w:t xml:space="preserve">BNP </w:t>
            </w:r>
            <w:proofErr w:type="spellStart"/>
            <w:r w:rsidRPr="00176D53">
              <w:rPr>
                <w:rFonts w:eastAsia="Calibri"/>
                <w:color w:val="FF0000"/>
                <w:sz w:val="20"/>
                <w:szCs w:val="20"/>
              </w:rPr>
              <w:t>Paribas</w:t>
            </w:r>
            <w:proofErr w:type="spellEnd"/>
            <w:r w:rsidRPr="00176D53">
              <w:rPr>
                <w:rFonts w:eastAsia="Calibri"/>
                <w:color w:val="FF0000"/>
                <w:sz w:val="20"/>
                <w:szCs w:val="20"/>
              </w:rPr>
              <w:t xml:space="preserve"> REIM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BNL Portfolio Immobiliare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-34,46%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0,59</w:t>
            </w:r>
          </w:p>
        </w:tc>
      </w:tr>
      <w:tr w:rsidR="00176D53" w:rsidRPr="00176D53" w:rsidTr="00C86945"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color w:val="FF0000"/>
                <w:sz w:val="20"/>
                <w:szCs w:val="20"/>
              </w:rPr>
            </w:pPr>
            <w:r w:rsidRPr="00176D53">
              <w:rPr>
                <w:rFonts w:eastAsia="Calibri"/>
                <w:color w:val="FF0000"/>
                <w:sz w:val="20"/>
                <w:szCs w:val="20"/>
              </w:rPr>
              <w:t>Polis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Polis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-59,67%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2,59</w:t>
            </w:r>
          </w:p>
        </w:tc>
      </w:tr>
      <w:tr w:rsidR="00176D53" w:rsidRPr="00176D53" w:rsidTr="00C86945"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color w:val="FF0000"/>
                <w:sz w:val="20"/>
                <w:szCs w:val="20"/>
              </w:rPr>
            </w:pPr>
            <w:r w:rsidRPr="00176D53">
              <w:rPr>
                <w:rFonts w:eastAsia="Calibri"/>
                <w:color w:val="FF0000"/>
                <w:sz w:val="20"/>
                <w:szCs w:val="20"/>
              </w:rPr>
              <w:t xml:space="preserve">Idea </w:t>
            </w:r>
            <w:proofErr w:type="spellStart"/>
            <w:r w:rsidRPr="00176D53">
              <w:rPr>
                <w:rFonts w:eastAsia="Calibri"/>
                <w:color w:val="FF0000"/>
                <w:sz w:val="20"/>
                <w:szCs w:val="20"/>
              </w:rPr>
              <w:t>Fimit</w:t>
            </w:r>
            <w:proofErr w:type="spellEnd"/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Alpha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-72,44%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2,07</w:t>
            </w:r>
          </w:p>
        </w:tc>
      </w:tr>
      <w:tr w:rsidR="00176D53" w:rsidRPr="00176D53" w:rsidTr="00C86945"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color w:val="FF0000"/>
                <w:sz w:val="20"/>
                <w:szCs w:val="20"/>
              </w:rPr>
            </w:pPr>
            <w:proofErr w:type="spellStart"/>
            <w:r w:rsidRPr="00176D53">
              <w:rPr>
                <w:rFonts w:eastAsia="Calibri"/>
                <w:color w:val="FF0000"/>
                <w:sz w:val="20"/>
                <w:szCs w:val="20"/>
              </w:rPr>
              <w:t>Amundi</w:t>
            </w:r>
            <w:proofErr w:type="spellEnd"/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proofErr w:type="spellStart"/>
            <w:r w:rsidRPr="00176D53">
              <w:rPr>
                <w:rFonts w:eastAsia="Calibri"/>
                <w:sz w:val="20"/>
                <w:szCs w:val="20"/>
              </w:rPr>
              <w:t>Amundi</w:t>
            </w:r>
            <w:proofErr w:type="spellEnd"/>
            <w:r w:rsidRPr="00176D53">
              <w:rPr>
                <w:rFonts w:eastAsia="Calibri"/>
                <w:sz w:val="20"/>
                <w:szCs w:val="20"/>
              </w:rPr>
              <w:t xml:space="preserve"> Re Italia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-59,06%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3,59</w:t>
            </w:r>
          </w:p>
        </w:tc>
      </w:tr>
      <w:tr w:rsidR="00176D53" w:rsidRPr="00176D53" w:rsidTr="00C86945"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color w:val="FF0000"/>
                <w:sz w:val="20"/>
                <w:szCs w:val="20"/>
              </w:rPr>
            </w:pPr>
            <w:proofErr w:type="spellStart"/>
            <w:r w:rsidRPr="00176D53">
              <w:rPr>
                <w:rFonts w:eastAsia="Calibri"/>
                <w:color w:val="FF0000"/>
                <w:sz w:val="20"/>
                <w:szCs w:val="20"/>
              </w:rPr>
              <w:t>Amundi</w:t>
            </w:r>
            <w:proofErr w:type="spellEnd"/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proofErr w:type="spellStart"/>
            <w:r w:rsidRPr="00176D53">
              <w:rPr>
                <w:rFonts w:eastAsia="Calibri"/>
                <w:sz w:val="20"/>
                <w:szCs w:val="20"/>
              </w:rPr>
              <w:t>Amundi</w:t>
            </w:r>
            <w:proofErr w:type="spellEnd"/>
            <w:r w:rsidRPr="00176D53">
              <w:rPr>
                <w:rFonts w:eastAsia="Calibri"/>
                <w:sz w:val="20"/>
                <w:szCs w:val="20"/>
              </w:rPr>
              <w:t xml:space="preserve"> Re Europa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-59,86%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3,59</w:t>
            </w:r>
          </w:p>
        </w:tc>
      </w:tr>
      <w:tr w:rsidR="00176D53" w:rsidRPr="00176D53" w:rsidTr="00C86945"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color w:val="FF0000"/>
                <w:sz w:val="20"/>
                <w:szCs w:val="20"/>
              </w:rPr>
            </w:pPr>
            <w:r w:rsidRPr="00176D53">
              <w:rPr>
                <w:rFonts w:eastAsia="Calibri"/>
                <w:color w:val="FF0000"/>
                <w:sz w:val="20"/>
                <w:szCs w:val="20"/>
              </w:rPr>
              <w:t>Aedes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proofErr w:type="spellStart"/>
            <w:r w:rsidRPr="00176D53">
              <w:rPr>
                <w:rFonts w:eastAsia="Calibri"/>
                <w:sz w:val="20"/>
                <w:szCs w:val="20"/>
              </w:rPr>
              <w:t>Investietico</w:t>
            </w:r>
            <w:proofErr w:type="spellEnd"/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-41,68%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2,59</w:t>
            </w:r>
          </w:p>
        </w:tc>
      </w:tr>
      <w:tr w:rsidR="00176D53" w:rsidRPr="00176D53" w:rsidTr="00C86945"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color w:val="FF0000"/>
                <w:sz w:val="20"/>
                <w:szCs w:val="20"/>
              </w:rPr>
            </w:pPr>
            <w:r w:rsidRPr="00176D53">
              <w:rPr>
                <w:rFonts w:eastAsia="Calibri"/>
                <w:color w:val="FF0000"/>
                <w:sz w:val="20"/>
                <w:szCs w:val="20"/>
              </w:rPr>
              <w:t>Beni Stabili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proofErr w:type="spellStart"/>
            <w:r w:rsidRPr="00176D53">
              <w:rPr>
                <w:rFonts w:eastAsia="Calibri"/>
                <w:sz w:val="20"/>
                <w:szCs w:val="20"/>
              </w:rPr>
              <w:t>Immobilium</w:t>
            </w:r>
            <w:proofErr w:type="spellEnd"/>
            <w:r w:rsidRPr="00176D53">
              <w:rPr>
                <w:rFonts w:eastAsia="Calibri"/>
                <w:sz w:val="20"/>
                <w:szCs w:val="20"/>
              </w:rPr>
              <w:t xml:space="preserve"> 2001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-63,29%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4,59</w:t>
            </w:r>
          </w:p>
        </w:tc>
      </w:tr>
      <w:tr w:rsidR="00176D53" w:rsidRPr="00176D53" w:rsidTr="00C86945"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color w:val="FF0000"/>
                <w:sz w:val="20"/>
                <w:szCs w:val="20"/>
              </w:rPr>
            </w:pPr>
            <w:r w:rsidRPr="00176D53">
              <w:rPr>
                <w:rFonts w:eastAsia="Calibri"/>
                <w:color w:val="FF0000"/>
                <w:sz w:val="20"/>
                <w:szCs w:val="20"/>
              </w:rPr>
              <w:t xml:space="preserve">BNP </w:t>
            </w:r>
            <w:proofErr w:type="spellStart"/>
            <w:r w:rsidRPr="00176D53">
              <w:rPr>
                <w:rFonts w:eastAsia="Calibri"/>
                <w:color w:val="FF0000"/>
                <w:sz w:val="20"/>
                <w:szCs w:val="20"/>
              </w:rPr>
              <w:t>Paribas</w:t>
            </w:r>
            <w:proofErr w:type="spellEnd"/>
            <w:r w:rsidRPr="00176D53">
              <w:rPr>
                <w:rFonts w:eastAsia="Calibri"/>
                <w:color w:val="FF0000"/>
                <w:sz w:val="20"/>
                <w:szCs w:val="20"/>
              </w:rPr>
              <w:t xml:space="preserve"> REIM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Estense Grande Distribuzione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-27,10%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0,59</w:t>
            </w:r>
          </w:p>
        </w:tc>
      </w:tr>
      <w:tr w:rsidR="00176D53" w:rsidRPr="00176D53" w:rsidTr="00C86945"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color w:val="FF0000"/>
                <w:sz w:val="20"/>
                <w:szCs w:val="20"/>
              </w:rPr>
            </w:pPr>
            <w:r w:rsidRPr="00176D53">
              <w:rPr>
                <w:rFonts w:eastAsia="Calibri"/>
                <w:color w:val="FF0000"/>
                <w:sz w:val="20"/>
                <w:szCs w:val="20"/>
              </w:rPr>
              <w:t>Beni Stabili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proofErr w:type="spellStart"/>
            <w:r w:rsidRPr="00176D53">
              <w:rPr>
                <w:rFonts w:eastAsia="Calibri"/>
                <w:sz w:val="20"/>
                <w:szCs w:val="20"/>
              </w:rPr>
              <w:t>Invest</w:t>
            </w:r>
            <w:proofErr w:type="spellEnd"/>
            <w:r w:rsidRPr="00176D53">
              <w:rPr>
                <w:rFonts w:eastAsia="Calibri"/>
                <w:sz w:val="20"/>
                <w:szCs w:val="20"/>
              </w:rPr>
              <w:t xml:space="preserve"> Real Security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-53,20%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0,59</w:t>
            </w:r>
          </w:p>
        </w:tc>
      </w:tr>
      <w:tr w:rsidR="00176D53" w:rsidRPr="00176D53" w:rsidTr="00C86945"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color w:val="FF0000"/>
                <w:sz w:val="20"/>
                <w:szCs w:val="20"/>
              </w:rPr>
            </w:pPr>
            <w:r w:rsidRPr="00176D53">
              <w:rPr>
                <w:rFonts w:eastAsia="Calibri"/>
                <w:color w:val="FF0000"/>
                <w:sz w:val="20"/>
                <w:szCs w:val="20"/>
              </w:rPr>
              <w:t xml:space="preserve">Idea </w:t>
            </w:r>
            <w:proofErr w:type="spellStart"/>
            <w:r w:rsidRPr="00176D53">
              <w:rPr>
                <w:rFonts w:eastAsia="Calibri"/>
                <w:color w:val="FF0000"/>
                <w:sz w:val="20"/>
                <w:szCs w:val="20"/>
              </w:rPr>
              <w:t>Fimit</w:t>
            </w:r>
            <w:proofErr w:type="spellEnd"/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Beta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-38,39%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1,72</w:t>
            </w:r>
          </w:p>
        </w:tc>
      </w:tr>
      <w:tr w:rsidR="00176D53" w:rsidRPr="00176D53" w:rsidTr="00C86945"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color w:val="FF0000"/>
                <w:sz w:val="20"/>
                <w:szCs w:val="20"/>
              </w:rPr>
            </w:pPr>
            <w:proofErr w:type="spellStart"/>
            <w:r w:rsidRPr="00176D53">
              <w:rPr>
                <w:rFonts w:eastAsia="Calibri"/>
                <w:color w:val="FF0000"/>
                <w:sz w:val="20"/>
                <w:szCs w:val="20"/>
              </w:rPr>
              <w:t>Prelios</w:t>
            </w:r>
            <w:proofErr w:type="spellEnd"/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Tecla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-52,14%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1,59</w:t>
            </w:r>
          </w:p>
        </w:tc>
      </w:tr>
      <w:tr w:rsidR="00176D53" w:rsidRPr="00176D53" w:rsidTr="00C86945"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color w:val="FF0000"/>
                <w:sz w:val="20"/>
                <w:szCs w:val="20"/>
              </w:rPr>
            </w:pPr>
            <w:proofErr w:type="spellStart"/>
            <w:r w:rsidRPr="00176D53">
              <w:rPr>
                <w:rFonts w:eastAsia="Calibri"/>
                <w:color w:val="FF0000"/>
                <w:sz w:val="20"/>
                <w:szCs w:val="20"/>
              </w:rPr>
              <w:t>Vegagest</w:t>
            </w:r>
            <w:proofErr w:type="spellEnd"/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Europa Immobiliare 1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-70,92%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1,59</w:t>
            </w:r>
          </w:p>
        </w:tc>
      </w:tr>
      <w:tr w:rsidR="00176D53" w:rsidRPr="00176D53" w:rsidTr="00C86945"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color w:val="FF0000"/>
                <w:sz w:val="20"/>
                <w:szCs w:val="20"/>
              </w:rPr>
            </w:pPr>
            <w:proofErr w:type="spellStart"/>
            <w:r w:rsidRPr="00176D53">
              <w:rPr>
                <w:rFonts w:eastAsia="Calibri"/>
                <w:color w:val="FF0000"/>
                <w:sz w:val="20"/>
                <w:szCs w:val="20"/>
              </w:rPr>
              <w:t>Prelios</w:t>
            </w:r>
            <w:proofErr w:type="spellEnd"/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Olinda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-74,41%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1,59</w:t>
            </w:r>
          </w:p>
        </w:tc>
      </w:tr>
      <w:tr w:rsidR="00176D53" w:rsidRPr="00176D53" w:rsidTr="00C86945"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color w:val="FF0000"/>
                <w:sz w:val="20"/>
                <w:szCs w:val="20"/>
              </w:rPr>
            </w:pPr>
            <w:r w:rsidRPr="00176D53">
              <w:rPr>
                <w:rFonts w:eastAsia="Calibri"/>
                <w:color w:val="FF0000"/>
                <w:sz w:val="20"/>
                <w:szCs w:val="20"/>
              </w:rPr>
              <w:t xml:space="preserve">Idea </w:t>
            </w:r>
            <w:proofErr w:type="spellStart"/>
            <w:r w:rsidRPr="00176D53">
              <w:rPr>
                <w:rFonts w:eastAsia="Calibri"/>
                <w:color w:val="FF0000"/>
                <w:sz w:val="20"/>
                <w:szCs w:val="20"/>
              </w:rPr>
              <w:t>Fimit</w:t>
            </w:r>
            <w:proofErr w:type="spellEnd"/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Atlantic 2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-52,72%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2,59</w:t>
            </w:r>
          </w:p>
        </w:tc>
      </w:tr>
      <w:tr w:rsidR="00176D53" w:rsidRPr="00176D53" w:rsidTr="00C86945"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color w:val="FF0000"/>
                <w:sz w:val="20"/>
                <w:szCs w:val="20"/>
              </w:rPr>
            </w:pPr>
            <w:r w:rsidRPr="00176D53">
              <w:rPr>
                <w:rFonts w:eastAsia="Calibri"/>
                <w:color w:val="FF0000"/>
                <w:sz w:val="20"/>
                <w:szCs w:val="20"/>
              </w:rPr>
              <w:t>Investire Immobiliare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Obelisco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-66,42%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2,59</w:t>
            </w:r>
          </w:p>
        </w:tc>
      </w:tr>
      <w:tr w:rsidR="00176D53" w:rsidRPr="00176D53" w:rsidTr="00C86945"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color w:val="FF0000"/>
                <w:sz w:val="20"/>
                <w:szCs w:val="20"/>
              </w:rPr>
            </w:pPr>
            <w:r w:rsidRPr="00176D53">
              <w:rPr>
                <w:rFonts w:eastAsia="Calibri"/>
                <w:color w:val="FF0000"/>
                <w:sz w:val="20"/>
                <w:szCs w:val="20"/>
              </w:rPr>
              <w:t xml:space="preserve">Idea </w:t>
            </w:r>
            <w:proofErr w:type="spellStart"/>
            <w:r w:rsidRPr="00176D53">
              <w:rPr>
                <w:rFonts w:eastAsia="Calibri"/>
                <w:color w:val="FF0000"/>
                <w:sz w:val="20"/>
                <w:szCs w:val="20"/>
              </w:rPr>
              <w:t>Fimit</w:t>
            </w:r>
            <w:proofErr w:type="spellEnd"/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Atlantic 1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-55,33%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0,59</w:t>
            </w:r>
          </w:p>
        </w:tc>
      </w:tr>
      <w:tr w:rsidR="00176D53" w:rsidRPr="00176D53" w:rsidTr="00C86945"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color w:val="FF0000"/>
                <w:sz w:val="20"/>
                <w:szCs w:val="20"/>
              </w:rPr>
            </w:pPr>
            <w:r w:rsidRPr="00176D53">
              <w:rPr>
                <w:rFonts w:eastAsia="Calibri"/>
                <w:color w:val="FF0000"/>
                <w:sz w:val="20"/>
                <w:szCs w:val="20"/>
              </w:rPr>
              <w:t xml:space="preserve">Idea </w:t>
            </w:r>
            <w:proofErr w:type="spellStart"/>
            <w:r w:rsidRPr="00176D53">
              <w:rPr>
                <w:rFonts w:eastAsia="Calibri"/>
                <w:color w:val="FF0000"/>
                <w:sz w:val="20"/>
                <w:szCs w:val="20"/>
              </w:rPr>
              <w:t>Fimit</w:t>
            </w:r>
            <w:proofErr w:type="spellEnd"/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Delta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-69,67%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1,59</w:t>
            </w:r>
          </w:p>
        </w:tc>
      </w:tr>
      <w:tr w:rsidR="00176D53" w:rsidRPr="00176D53" w:rsidTr="00C86945"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color w:val="FF0000"/>
                <w:sz w:val="20"/>
                <w:szCs w:val="20"/>
              </w:rPr>
            </w:pPr>
            <w:proofErr w:type="spellStart"/>
            <w:r w:rsidRPr="00176D53">
              <w:rPr>
                <w:rFonts w:eastAsia="Calibri"/>
                <w:color w:val="FF0000"/>
                <w:sz w:val="20"/>
                <w:szCs w:val="20"/>
              </w:rPr>
              <w:t>Pens</w:t>
            </w:r>
            <w:proofErr w:type="spellEnd"/>
            <w:r w:rsidRPr="00176D53">
              <w:rPr>
                <w:rFonts w:eastAsia="Calibri"/>
                <w:color w:val="FF0000"/>
                <w:sz w:val="20"/>
                <w:szCs w:val="20"/>
              </w:rPr>
              <w:t xml:space="preserve"> Plan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Risparmio Immobiliare Uno Energia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-9,67%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5,59</w:t>
            </w:r>
          </w:p>
        </w:tc>
      </w:tr>
      <w:tr w:rsidR="00176D53" w:rsidRPr="00176D53" w:rsidTr="00C86945"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color w:val="FF0000"/>
                <w:sz w:val="20"/>
                <w:szCs w:val="20"/>
              </w:rPr>
            </w:pPr>
            <w:r w:rsidRPr="00176D53">
              <w:rPr>
                <w:rFonts w:eastAsia="Calibri"/>
                <w:color w:val="FF0000"/>
                <w:sz w:val="20"/>
                <w:szCs w:val="20"/>
              </w:rPr>
              <w:t xml:space="preserve">BNP </w:t>
            </w:r>
            <w:proofErr w:type="spellStart"/>
            <w:r w:rsidRPr="00176D53">
              <w:rPr>
                <w:rFonts w:eastAsia="Calibri"/>
                <w:color w:val="FF0000"/>
                <w:sz w:val="20"/>
                <w:szCs w:val="20"/>
              </w:rPr>
              <w:t>Paribas</w:t>
            </w:r>
            <w:proofErr w:type="spellEnd"/>
            <w:r w:rsidRPr="00176D53">
              <w:rPr>
                <w:rFonts w:eastAsia="Calibri"/>
                <w:color w:val="FF0000"/>
                <w:sz w:val="20"/>
                <w:szCs w:val="20"/>
              </w:rPr>
              <w:t xml:space="preserve"> REIM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Immobiliare Dinamico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-73,44%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D53" w:rsidRPr="00176D53" w:rsidRDefault="00176D53" w:rsidP="00176D53">
            <w:pPr>
              <w:jc w:val="center"/>
              <w:rPr>
                <w:rFonts w:eastAsia="Calibri"/>
                <w:sz w:val="20"/>
                <w:szCs w:val="20"/>
              </w:rPr>
            </w:pPr>
            <w:r w:rsidRPr="00176D53">
              <w:rPr>
                <w:rFonts w:eastAsia="Calibri"/>
                <w:sz w:val="20"/>
                <w:szCs w:val="20"/>
              </w:rPr>
              <w:t>7,59</w:t>
            </w:r>
          </w:p>
        </w:tc>
      </w:tr>
    </w:tbl>
    <w:p w:rsidR="00132E99" w:rsidRDefault="00132E99"/>
    <w:p w:rsidR="00844719" w:rsidRDefault="00844719">
      <w:r>
        <w:t xml:space="preserve">                                                                           Elio Lannutti (Adusbef) – Rosario </w:t>
      </w:r>
      <w:proofErr w:type="spellStart"/>
      <w:r>
        <w:t>Trefiletti</w:t>
      </w:r>
      <w:proofErr w:type="spellEnd"/>
      <w:r>
        <w:t xml:space="preserve"> (Federconsumatori)</w:t>
      </w:r>
    </w:p>
    <w:p w:rsidR="00844719" w:rsidRDefault="00844719">
      <w:r>
        <w:t>Roma,13.7.2013</w:t>
      </w:r>
    </w:p>
    <w:sectPr w:rsidR="00844719" w:rsidSect="007F6C4D">
      <w:pgSz w:w="11906" w:h="16838"/>
      <w:pgMar w:top="993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DDC"/>
    <w:rsid w:val="00077DDC"/>
    <w:rsid w:val="00132E99"/>
    <w:rsid w:val="00176D53"/>
    <w:rsid w:val="007F6C4D"/>
    <w:rsid w:val="00844719"/>
    <w:rsid w:val="00B97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77DDC"/>
    <w:rPr>
      <w:rFonts w:ascii="Calibri" w:eastAsia="Times New Roman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077DDC"/>
    <w:rPr>
      <w:color w:val="0000FF"/>
      <w:u w:val="single"/>
    </w:rPr>
  </w:style>
  <w:style w:type="paragraph" w:styleId="Nessunaspaziatura">
    <w:name w:val="No Spacing"/>
    <w:uiPriority w:val="1"/>
    <w:qFormat/>
    <w:rsid w:val="00077DDC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77DDC"/>
    <w:rPr>
      <w:rFonts w:ascii="Calibri" w:eastAsia="Times New Roman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077DDC"/>
    <w:rPr>
      <w:color w:val="0000FF"/>
      <w:u w:val="single"/>
    </w:rPr>
  </w:style>
  <w:style w:type="paragraph" w:styleId="Nessunaspaziatura">
    <w:name w:val="No Spacing"/>
    <w:uiPriority w:val="1"/>
    <w:qFormat/>
    <w:rsid w:val="00077DDC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tradingsystems.it/fondi_immobiliari/scheda_qf.php?qf=VIG" TargetMode="External"/><Relationship Id="rId18" Type="http://schemas.openxmlformats.org/officeDocument/2006/relationships/hyperlink" Target="http://www.tradingsystems.it/fondi_immobiliari/scheda_qf.php?qf=ARE" TargetMode="External"/><Relationship Id="rId26" Type="http://schemas.openxmlformats.org/officeDocument/2006/relationships/hyperlink" Target="http://www.tradingsystems.it/fondi_immobiliari/scheda_qf.php?qf=EI1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://www.tradingsystems.it/fondi_immobiliari/scheda_qf.php?qf=ATL2" TargetMode="External"/><Relationship Id="rId34" Type="http://schemas.openxmlformats.org/officeDocument/2006/relationships/hyperlink" Target="http://www.tradingsystems.it/fondi_immobiliari/scheda_qf.php?qf=RIE" TargetMode="External"/><Relationship Id="rId7" Type="http://schemas.openxmlformats.org/officeDocument/2006/relationships/hyperlink" Target="http://www.tradingsystems.it/fondi_immobiliari/scheda_qf.php?qf=EI1" TargetMode="External"/><Relationship Id="rId12" Type="http://schemas.openxmlformats.org/officeDocument/2006/relationships/hyperlink" Target="http://www.tradingsystems.it/fondi_immobiliari/scheda_qf.php?qf=TEC" TargetMode="External"/><Relationship Id="rId17" Type="http://schemas.openxmlformats.org/officeDocument/2006/relationships/hyperlink" Target="http://www.tradingsystems.it/fondi_immobiliari/scheda_qf.php?qf=AL" TargetMode="External"/><Relationship Id="rId25" Type="http://schemas.openxmlformats.org/officeDocument/2006/relationships/hyperlink" Target="http://www.tradingsystems.it/fondi_immobiliari/scheda_qf.php?qf=EGD" TargetMode="External"/><Relationship Id="rId33" Type="http://schemas.openxmlformats.org/officeDocument/2006/relationships/hyperlink" Target="http://www.tradingsystems.it/fondi_immobiliari/scheda_qf.php?qf=POL" TargetMode="External"/><Relationship Id="rId38" Type="http://schemas.openxmlformats.org/officeDocument/2006/relationships/hyperlink" Target="http://www.tradingsystems.it/fondi_immobiliari/scheda_qf.php?qf=VIG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tradingsystems.it" TargetMode="External"/><Relationship Id="rId20" Type="http://schemas.openxmlformats.org/officeDocument/2006/relationships/hyperlink" Target="http://www.tradingsystems.it/fondi_immobiliari/scheda_qf.php?qf=ATL" TargetMode="External"/><Relationship Id="rId29" Type="http://schemas.openxmlformats.org/officeDocument/2006/relationships/hyperlink" Target="http://www.tradingsystems.it/fondi_immobiliari/scheda_qf.php?qf=INV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tradingsystems.it/fondi_immobiliari/scheda_qf.php?qf=AL" TargetMode="External"/><Relationship Id="rId11" Type="http://schemas.openxmlformats.org/officeDocument/2006/relationships/hyperlink" Target="http://www.tradingsystems.it/fondi_immobiliari/scheda_qf.php?qf=OLI" TargetMode="External"/><Relationship Id="rId24" Type="http://schemas.openxmlformats.org/officeDocument/2006/relationships/hyperlink" Target="http://www.tradingsystems.it/fondi_immobiliari/scheda_qf.php?qf=DI" TargetMode="External"/><Relationship Id="rId32" Type="http://schemas.openxmlformats.org/officeDocument/2006/relationships/hyperlink" Target="http://www.tradingsystems.it/fondi_immobiliari/scheda_qf.php?qf=OLI" TargetMode="External"/><Relationship Id="rId37" Type="http://schemas.openxmlformats.org/officeDocument/2006/relationships/hyperlink" Target="http://www.tradingsystems.it/fondi_immobiliari/scheda_qf.php?qf=UNO" TargetMode="External"/><Relationship Id="rId40" Type="http://schemas.openxmlformats.org/officeDocument/2006/relationships/theme" Target="theme/theme1.xml"/><Relationship Id="rId5" Type="http://schemas.openxmlformats.org/officeDocument/2006/relationships/hyperlink" Target="http://www.tradingsystems.it/fondi_immobiliari/scheda_qf.php?qf=EGD" TargetMode="External"/><Relationship Id="rId15" Type="http://schemas.openxmlformats.org/officeDocument/2006/relationships/hyperlink" Target="http://www.tradingsystems.it/fondi_immobiliari/scheda_qf.php?qf=VIG" TargetMode="External"/><Relationship Id="rId23" Type="http://schemas.openxmlformats.org/officeDocument/2006/relationships/hyperlink" Target="http://www.tradingsystems.it/fondi_immobiliari/scheda_qf.php?qf=BPI" TargetMode="External"/><Relationship Id="rId28" Type="http://schemas.openxmlformats.org/officeDocument/2006/relationships/hyperlink" Target="http://www.tradingsystems.it/fondi_immobiliari/scheda_qf.php?qf=IMM" TargetMode="External"/><Relationship Id="rId36" Type="http://schemas.openxmlformats.org/officeDocument/2006/relationships/hyperlink" Target="http://www.tradingsystems.it/fondi_immobiliari/scheda_qf.php?qf=TEC" TargetMode="External"/><Relationship Id="rId10" Type="http://schemas.openxmlformats.org/officeDocument/2006/relationships/hyperlink" Target="http://www.tradingsystems.it/fondi_immobiliari/scheda_qf.php?qf=OBE" TargetMode="External"/><Relationship Id="rId19" Type="http://schemas.openxmlformats.org/officeDocument/2006/relationships/hyperlink" Target="http://www.tradingsystems.it/fondi_immobiliari/scheda_qf.php?qf=ARI" TargetMode="External"/><Relationship Id="rId31" Type="http://schemas.openxmlformats.org/officeDocument/2006/relationships/hyperlink" Target="http://www.tradingsystems.it/fondi_immobiliari/scheda_qf.php?qf=OB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radingsystems.it/fondi_immobiliari/scheda_qf.php?qf=IMM" TargetMode="External"/><Relationship Id="rId14" Type="http://schemas.openxmlformats.org/officeDocument/2006/relationships/hyperlink" Target="http://www.tradingsystems.it/fondi_immobiliari/scheda_qf.php?qf=ATL" TargetMode="External"/><Relationship Id="rId22" Type="http://schemas.openxmlformats.org/officeDocument/2006/relationships/hyperlink" Target="http://www.tradingsystems.it/fondi_immobiliari/scheda_qf.php?qf=BET" TargetMode="External"/><Relationship Id="rId27" Type="http://schemas.openxmlformats.org/officeDocument/2006/relationships/hyperlink" Target="http://www.tradingsystems.it/fondi_immobiliari/scheda_qf.php?qf=ID" TargetMode="External"/><Relationship Id="rId30" Type="http://schemas.openxmlformats.org/officeDocument/2006/relationships/hyperlink" Target="http://www.tradingsystems.it/fondi_immobiliari/scheda_qf.php?qf=IRS" TargetMode="External"/><Relationship Id="rId35" Type="http://schemas.openxmlformats.org/officeDocument/2006/relationships/hyperlink" Target="http://www.tradingsystems.it/fondi_immobiliari/scheda_qf.php?qf=SEC" TargetMode="External"/><Relationship Id="rId8" Type="http://schemas.openxmlformats.org/officeDocument/2006/relationships/hyperlink" Target="http://www.tradingsystems.it/fondi_immobiliari/scheda_qf.php?qf=ID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1372</Words>
  <Characters>7825</Characters>
  <Application>Microsoft Office Word</Application>
  <DocSecurity>0</DocSecurity>
  <Lines>65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Elio</dc:creator>
  <cp:lastModifiedBy>Elio</cp:lastModifiedBy>
  <cp:revision>2</cp:revision>
  <dcterms:created xsi:type="dcterms:W3CDTF">2013-07-12T12:03:00Z</dcterms:created>
  <dcterms:modified xsi:type="dcterms:W3CDTF">2013-07-12T12:27:00Z</dcterms:modified>
</cp:coreProperties>
</file>