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AE7" w:rsidRDefault="00E21AE7" w:rsidP="00E21AE7">
      <w:pPr>
        <w:jc w:val="center"/>
      </w:pPr>
      <w:r>
        <w:t>COMUNICATO STAMPA</w:t>
      </w:r>
    </w:p>
    <w:p w:rsidR="00321D97" w:rsidRDefault="00E21AE7" w:rsidP="00E21AE7">
      <w:pPr>
        <w:jc w:val="center"/>
      </w:pPr>
      <w:r>
        <w:t xml:space="preserve">BANCHE:  I  CONTI CORRENTI COSTANO IN MEDIA  300 EURO L’ANNO, </w:t>
      </w:r>
      <w:r w:rsidR="007204E4">
        <w:t xml:space="preserve">IL </w:t>
      </w:r>
      <w:r>
        <w:t xml:space="preserve">TRIPLO DI QUANTO RILEVATO DA BANKITALIA. </w:t>
      </w:r>
      <w:r w:rsidR="00321D97">
        <w:t xml:space="preserve">PROIBITIVO IL COSTO DEL DENARO,CON TASSI A STROZZO OLTRE IL </w:t>
      </w:r>
      <w:r w:rsidR="00195689">
        <w:t>20</w:t>
      </w:r>
      <w:r w:rsidR="00321D97">
        <w:t>% A FRONTE 1% BCE.</w:t>
      </w:r>
    </w:p>
    <w:p w:rsidR="001753F9" w:rsidRPr="00025FCD" w:rsidRDefault="002A1E45" w:rsidP="00DD5792">
      <w:pPr>
        <w:pStyle w:val="Nessunaspaziatura"/>
        <w:jc w:val="both"/>
      </w:pPr>
      <w:r w:rsidRPr="00025FCD">
        <w:t xml:space="preserve">  Per verificare le analisi di </w:t>
      </w:r>
      <w:proofErr w:type="spellStart"/>
      <w:r w:rsidRPr="00025FCD">
        <w:t>Bankitalia</w:t>
      </w:r>
      <w:proofErr w:type="spellEnd"/>
      <w:r w:rsidRPr="00025FCD">
        <w:t>,</w:t>
      </w:r>
      <w:r w:rsidR="001753F9" w:rsidRPr="00025FCD">
        <w:t xml:space="preserve">  per bocca del direttore centrale per la Vigilanza, Carmelo Barbagallo  il 20 giugno 2013, </w:t>
      </w:r>
      <w:r w:rsidRPr="00025FCD">
        <w:t>secondo le quali, i costi dei conti correnti continuerebbero a calare e si sarebbero attestate a 101 euro nel 2012</w:t>
      </w:r>
      <w:r w:rsidR="001753F9" w:rsidRPr="00025FCD">
        <w:t>,</w:t>
      </w:r>
      <w:r w:rsidRPr="00025FCD">
        <w:t xml:space="preserve"> Adusbef  ha raccolto i dati delle 10</w:t>
      </w:r>
      <w:r w:rsidR="001753F9" w:rsidRPr="00025FCD">
        <w:t xml:space="preserve"> maggiori</w:t>
      </w:r>
      <w:r w:rsidRPr="00025FCD">
        <w:t xml:space="preserve"> banche (Unicredit,</w:t>
      </w:r>
      <w:r w:rsidR="001753F9" w:rsidRPr="00025FCD">
        <w:t xml:space="preserve"> </w:t>
      </w:r>
      <w:r w:rsidRPr="00025FCD">
        <w:t xml:space="preserve">Intesa San Paolo;  </w:t>
      </w:r>
      <w:proofErr w:type="spellStart"/>
      <w:r w:rsidRPr="00025FCD">
        <w:t>Bnl</w:t>
      </w:r>
      <w:proofErr w:type="spellEnd"/>
      <w:r w:rsidRPr="00025FCD">
        <w:t xml:space="preserve">;  </w:t>
      </w:r>
      <w:proofErr w:type="spellStart"/>
      <w:r w:rsidRPr="00025FCD">
        <w:t>Mps</w:t>
      </w:r>
      <w:proofErr w:type="spellEnd"/>
      <w:r w:rsidRPr="00025FCD">
        <w:t>;  Banca Popolare; Carige; Popolare di Milano; Banca Sella; Popolare di Vicenza; Credem), che detengono l’8</w:t>
      </w:r>
      <w:r w:rsidR="00195689" w:rsidRPr="00025FCD">
        <w:t>5</w:t>
      </w:r>
      <w:r w:rsidRPr="00025FCD">
        <w:t>% del mercato</w:t>
      </w:r>
      <w:r w:rsidR="001753F9" w:rsidRPr="00025FCD">
        <w:t xml:space="preserve">, esaminando, tassi, costi, spese e condizioni  con l'ISC, l'Indicatore sintetico di costo, voluto  proprio dalla Banca d'Italia e </w:t>
      </w:r>
      <w:proofErr w:type="spellStart"/>
      <w:r w:rsidR="001753F9" w:rsidRPr="00025FCD">
        <w:t>dall’Abi</w:t>
      </w:r>
      <w:proofErr w:type="spellEnd"/>
      <w:r w:rsidR="001753F9" w:rsidRPr="00025FCD">
        <w:t>.</w:t>
      </w:r>
    </w:p>
    <w:p w:rsidR="001753F9" w:rsidRPr="00025FCD" w:rsidRDefault="001753F9" w:rsidP="00DD5792">
      <w:pPr>
        <w:pStyle w:val="Nessunaspaziatura"/>
        <w:jc w:val="both"/>
      </w:pPr>
      <w:r w:rsidRPr="00025FCD">
        <w:t xml:space="preserve">   Invece d</w:t>
      </w:r>
      <w:r w:rsidR="00DD5792" w:rsidRPr="00025FCD">
        <w:t>e</w:t>
      </w:r>
      <w:r w:rsidRPr="00025FCD">
        <w:t>i 101 euro</w:t>
      </w:r>
      <w:r w:rsidR="00B85906" w:rsidRPr="00025FCD">
        <w:t xml:space="preserve"> di </w:t>
      </w:r>
      <w:proofErr w:type="spellStart"/>
      <w:r w:rsidR="00B85906" w:rsidRPr="00025FCD">
        <w:t>costi</w:t>
      </w:r>
      <w:r w:rsidRPr="00025FCD">
        <w:t>,</w:t>
      </w:r>
      <w:r w:rsidR="00DD5792" w:rsidRPr="00025FCD">
        <w:t>rilevati</w:t>
      </w:r>
      <w:proofErr w:type="spellEnd"/>
      <w:r w:rsidR="00DD5792" w:rsidRPr="00025FCD">
        <w:t xml:space="preserve"> da</w:t>
      </w:r>
      <w:r w:rsidR="00B85906" w:rsidRPr="00025FCD">
        <w:t xml:space="preserve"> </w:t>
      </w:r>
      <w:r w:rsidR="00DD5792" w:rsidRPr="00025FCD">
        <w:t xml:space="preserve">Barbagallo </w:t>
      </w:r>
      <w:r w:rsidRPr="00025FCD">
        <w:t xml:space="preserve">nel 2012 </w:t>
      </w:r>
      <w:r w:rsidR="00DD5792" w:rsidRPr="00025FCD">
        <w:t>“</w:t>
      </w:r>
      <w:r w:rsidRPr="00025FCD">
        <w:t>come spesa media per la gestione di un conto, 4,8 euro in meno rispetto al</w:t>
      </w:r>
      <w:r w:rsidR="00DD5792" w:rsidRPr="00025FCD">
        <w:t xml:space="preserve"> 2011, che al netto </w:t>
      </w:r>
      <w:r w:rsidRPr="00025FCD">
        <w:t xml:space="preserve"> delle commissioni pagate sugli scoperti e sui finanziamenti in conto corrente,</w:t>
      </w:r>
      <w:r w:rsidR="00DD5792" w:rsidRPr="00025FCD">
        <w:t xml:space="preserve"> diventa magicamente</w:t>
      </w:r>
      <w:r w:rsidRPr="00025FCD">
        <w:t xml:space="preserve"> 86,9 euro</w:t>
      </w:r>
      <w:r w:rsidR="00DD5792" w:rsidRPr="00025FCD">
        <w:t xml:space="preserve">”, il monitoraggio sulle 10 principali banche, attesta che il costo medio di gestione di un conto corrente con “profilo a bassa operatività”, varia dai 238,35 euro della BNL ai 337,18 di Unicredit; dai 273,20 di Intesa San </w:t>
      </w:r>
      <w:proofErr w:type="spellStart"/>
      <w:r w:rsidR="00DD5792" w:rsidRPr="00025FCD">
        <w:t>Paolo,ai</w:t>
      </w:r>
      <w:proofErr w:type="spellEnd"/>
      <w:r w:rsidR="00DD5792" w:rsidRPr="00025FCD">
        <w:t xml:space="preserve"> 438,70 della Banca Popolare di Vicenza, con una media ponderata ISC pari a 320,5 euro, il  3</w:t>
      </w:r>
      <w:r w:rsidR="00B85906" w:rsidRPr="00025FCD">
        <w:t>18</w:t>
      </w:r>
      <w:r w:rsidR="00DD5792" w:rsidRPr="00025FCD">
        <w:t xml:space="preserve">% in più di quanto sbandierato da </w:t>
      </w:r>
      <w:proofErr w:type="spellStart"/>
      <w:r w:rsidR="00DD5792" w:rsidRPr="00025FCD">
        <w:t>Bankitalia</w:t>
      </w:r>
      <w:proofErr w:type="spellEnd"/>
      <w:r w:rsidRPr="00025FCD">
        <w:t>.</w:t>
      </w:r>
    </w:p>
    <w:p w:rsidR="00E5057C" w:rsidRPr="00025FCD" w:rsidRDefault="00B85906" w:rsidP="00DD5792">
      <w:pPr>
        <w:pStyle w:val="Nessunaspaziatura"/>
        <w:jc w:val="both"/>
      </w:pPr>
      <w:r w:rsidRPr="00025FCD">
        <w:t xml:space="preserve">  Pagare una bolletta costa fino a 4 euro (BNL), per un bonifico 5 euro (Popolare Vicenza), saldare la rata </w:t>
      </w:r>
      <w:proofErr w:type="spellStart"/>
      <w:r w:rsidRPr="00025FCD">
        <w:t>Imu</w:t>
      </w:r>
      <w:proofErr w:type="spellEnd"/>
      <w:r w:rsidRPr="00025FCD">
        <w:t xml:space="preserve">  arriva a costare 10 euro (MPS), saldare una rata di fitto </w:t>
      </w:r>
      <w:r w:rsidR="00E5057C" w:rsidRPr="00025FCD">
        <w:t>5 euro (Unicredit), sconfinare sul conto costa il 20% al Banco Popolare; gli interessi sulle somme depositate sono pari allo 0,010 BNL, Unicredit, Intesa San Paolo; Popolare di Vicenza, l’istruttoria veloce costa 50 euro alla Carige ed Unicredit; 40 euro alla Popolare di Milano,30 euro al Banco Popolare.</w:t>
      </w:r>
    </w:p>
    <w:p w:rsidR="008C7596" w:rsidRPr="008C7596" w:rsidRDefault="00025FCD" w:rsidP="008C7596">
      <w:pPr>
        <w:pStyle w:val="Nessunaspaziatura"/>
        <w:jc w:val="both"/>
      </w:pPr>
      <w:r w:rsidRPr="00025FCD">
        <w:t xml:space="preserve">    Riepilogando: l</w:t>
      </w:r>
      <w:r w:rsidR="008C7596" w:rsidRPr="008C7596">
        <w:t xml:space="preserve">’ISC delle 10 banche va da un massimo di 438,70 euro della Banca Popolare di Vicenza, in assoluto la più costosa delle 10 banche monitorate, ad un minimo di 238,35 euro di BNL, passando per i 400,10 di Banco Popolare,  i 365,80 di Carige,  i 337,18 di Unicredit,  i 309,67 di Credem,  i 291,30 del MPS,  i 273,20 di </w:t>
      </w:r>
      <w:proofErr w:type="spellStart"/>
      <w:r w:rsidR="008C7596" w:rsidRPr="008C7596">
        <w:t>IntesaSanpaolo</w:t>
      </w:r>
      <w:proofErr w:type="spellEnd"/>
      <w:r w:rsidR="008C7596" w:rsidRPr="008C7596">
        <w:t>.</w:t>
      </w:r>
    </w:p>
    <w:p w:rsidR="008C7596" w:rsidRPr="008C7596" w:rsidRDefault="00607C72" w:rsidP="008C7596">
      <w:pPr>
        <w:pStyle w:val="Nessunaspaziatura"/>
        <w:jc w:val="both"/>
      </w:pPr>
      <w:r>
        <w:t xml:space="preserve">    </w:t>
      </w:r>
      <w:r w:rsidR="008C7596" w:rsidRPr="008C7596">
        <w:t>Prelievi Bancomat da sportello di altra banca:  in media è applicato un costo di 2 euro. La spesa massima è imposta da Banca Popolare di Vicenza con 2,20 euro; la minima da Banca Sella con 1,81 euro. Unicredit non impone spese se non ha agenzie nel comune dove si effettua il prelievo.</w:t>
      </w:r>
    </w:p>
    <w:p w:rsidR="008C7596" w:rsidRPr="008C7596" w:rsidRDefault="00607C72" w:rsidP="008C7596">
      <w:pPr>
        <w:pStyle w:val="Nessunaspaziatura"/>
        <w:jc w:val="both"/>
      </w:pPr>
      <w:r>
        <w:t xml:space="preserve">    </w:t>
      </w:r>
      <w:r w:rsidR="008C7596" w:rsidRPr="008C7596">
        <w:t>Bonifici: per i bonifici Italia con addebito in conto, il costo medio per bonifici presso altra banca, si aggira attorno ai 4,60 euro. La più costosa risulta essere Unicredit  con 5,25 euro per bonifici,  seguita da Banca Popolare di Milano e da  Banca Polare di Vicenza (con 5 euro. La più economica risulta essere  Banca Sella con  3,50 euro.  Per bonifici presso stessa banca  la più economica risulta essere il Credem  con 2,37 euro.</w:t>
      </w:r>
    </w:p>
    <w:p w:rsidR="008C7596" w:rsidRPr="008C7596" w:rsidRDefault="008C7596" w:rsidP="008C7596">
      <w:pPr>
        <w:pStyle w:val="Nessunaspaziatura"/>
        <w:jc w:val="both"/>
      </w:pPr>
      <w:r w:rsidRPr="008C7596">
        <w:t>Tassi. I tassi (lordi) di remunerazione dei depositi  sono praticamente azzerati: 0,01 per cento per 9 banche tranne Banca Sella che offre lo 0,00%.</w:t>
      </w:r>
    </w:p>
    <w:p w:rsidR="008C7596" w:rsidRPr="00025FCD" w:rsidRDefault="00025FCD" w:rsidP="008C7596">
      <w:pPr>
        <w:pStyle w:val="Nessunaspaziatura"/>
        <w:jc w:val="both"/>
      </w:pPr>
      <w:r w:rsidRPr="00025FCD">
        <w:t xml:space="preserve">    </w:t>
      </w:r>
      <w:r w:rsidR="008C7596" w:rsidRPr="008C7596">
        <w:t xml:space="preserve">I tassi sugli affidamenti  vanno da un minimo di 13,75 % di Banca Sella e Credem, fino al massimo di Unicredit che impone il 16,90 per fidi al di sotto dei 5000 euro e  15,60 % oltre i 5.000 euro. Banca Popolare di Milano e </w:t>
      </w:r>
      <w:proofErr w:type="spellStart"/>
      <w:r w:rsidR="008C7596" w:rsidRPr="008C7596">
        <w:t>IntesaSanPaolo</w:t>
      </w:r>
      <w:proofErr w:type="spellEnd"/>
      <w:r w:rsidR="008C7596" w:rsidRPr="008C7596">
        <w:t xml:space="preserve"> non forniscono indicazioni, ma rimandano al documento “Informazioni europee di base”</w:t>
      </w:r>
      <w:r w:rsidRPr="00025FCD">
        <w:t xml:space="preserve"> .</w:t>
      </w:r>
      <w:r w:rsidR="008C7596" w:rsidRPr="008C7596">
        <w:t xml:space="preserve">Per gli sconfinamenti extra fido i tassi applicati restano praticamente gli stessi, ma l’operazione è gravata da “commissioni di istruttoria veloce” che raggiungono il massimo di 75 euro per ogni sconfinamento di Carige. Unicredit impone 50% euro per sconfinamento ma limita a 500 euro l’importo massimo applicabile dalla banca. </w:t>
      </w:r>
      <w:r w:rsidRPr="00025FCD">
        <w:t xml:space="preserve"> </w:t>
      </w:r>
      <w:r w:rsidR="008C7596" w:rsidRPr="008C7596">
        <w:t xml:space="preserve">I tassi applicati agli  sconfinamenti di conti non affidati  raggiungono il massimo in Intesa Sanpaolo che applica il 21,85% per sconfinamenti inferiori ai 1.500 euro e il 21,0625% per somme superiori.  MPS si attesta al 19,80% per sconfinamenti superiori ai 5000 euro  e al 18,5% se il rosso è compreso tra 1.500 e 5.000 euro. </w:t>
      </w:r>
    </w:p>
    <w:p w:rsidR="00025FCD" w:rsidRPr="00025FCD" w:rsidRDefault="00025FCD" w:rsidP="008C7596">
      <w:pPr>
        <w:pStyle w:val="Nessunaspaziatura"/>
        <w:jc w:val="both"/>
      </w:pPr>
      <w:r w:rsidRPr="00025FCD">
        <w:t xml:space="preserve">   Adusbef e Federconsumatori chiedono a </w:t>
      </w:r>
      <w:proofErr w:type="spellStart"/>
      <w:r w:rsidRPr="00025FCD">
        <w:t>Bankitalia</w:t>
      </w:r>
      <w:proofErr w:type="spellEnd"/>
      <w:r w:rsidRPr="00025FCD">
        <w:t xml:space="preserve"> maggiore serietà nel diffondere indagini confezionate ad uso e misura della banche vigilate, che in presenza di tale protezione, non attivano alcuna forma di concorrenza, continuando così a saccheggiare le tasche di famiglie ed </w:t>
      </w:r>
      <w:proofErr w:type="spellStart"/>
      <w:r w:rsidRPr="00025FCD">
        <w:t>imprese</w:t>
      </w:r>
      <w:r w:rsidR="00607C72">
        <w:t>strozzate</w:t>
      </w:r>
      <w:proofErr w:type="spellEnd"/>
      <w:r w:rsidRPr="00025FCD">
        <w:t>.</w:t>
      </w:r>
    </w:p>
    <w:p w:rsidR="00025FCD" w:rsidRPr="00025FCD" w:rsidRDefault="00025FCD" w:rsidP="008C7596">
      <w:pPr>
        <w:pStyle w:val="Nessunaspaziatura"/>
        <w:jc w:val="both"/>
      </w:pPr>
      <w:r w:rsidRPr="00025FCD">
        <w:t xml:space="preserve">                                                                       </w:t>
      </w:r>
    </w:p>
    <w:p w:rsidR="00025FCD" w:rsidRPr="00025FCD" w:rsidRDefault="00025FCD" w:rsidP="008C7596">
      <w:pPr>
        <w:pStyle w:val="Nessunaspaziatura"/>
        <w:jc w:val="both"/>
      </w:pPr>
      <w:r w:rsidRPr="00025FCD">
        <w:t xml:space="preserve">                                                        </w:t>
      </w:r>
      <w:r>
        <w:t xml:space="preserve">                  </w:t>
      </w:r>
      <w:r w:rsidRPr="00025FCD">
        <w:t xml:space="preserve">    Elio Lannutti (Adusbef) Rosario </w:t>
      </w:r>
      <w:proofErr w:type="spellStart"/>
      <w:r w:rsidRPr="00025FCD">
        <w:t>Trefiletti</w:t>
      </w:r>
      <w:proofErr w:type="spellEnd"/>
      <w:r w:rsidRPr="00025FCD">
        <w:t xml:space="preserve"> (Federconsumatori)</w:t>
      </w:r>
    </w:p>
    <w:p w:rsidR="00025FCD" w:rsidRPr="008C7596" w:rsidRDefault="00025FCD" w:rsidP="008C7596">
      <w:pPr>
        <w:pStyle w:val="Nessunaspaziatura"/>
        <w:jc w:val="both"/>
      </w:pPr>
      <w:r w:rsidRPr="00025FCD">
        <w:t>Roma,29.6.2013</w:t>
      </w:r>
    </w:p>
    <w:p w:rsidR="008C7596" w:rsidRPr="008C7596" w:rsidRDefault="008C7596" w:rsidP="008C7596">
      <w:pPr>
        <w:pStyle w:val="Nessunaspaziatura"/>
        <w:jc w:val="both"/>
      </w:pPr>
    </w:p>
    <w:p w:rsidR="008C7596" w:rsidRPr="008C7596" w:rsidRDefault="008C7596" w:rsidP="008C7596">
      <w:pPr>
        <w:pStyle w:val="Nessunaspaziatura"/>
        <w:jc w:val="both"/>
      </w:pPr>
    </w:p>
    <w:tbl>
      <w:tblPr>
        <w:tblStyle w:val="Grigliatabella"/>
        <w:tblW w:w="5000" w:type="pct"/>
        <w:tblInd w:w="0" w:type="dxa"/>
        <w:tblLook w:val="04A0" w:firstRow="1" w:lastRow="0" w:firstColumn="1" w:lastColumn="0" w:noHBand="0" w:noVBand="1"/>
      </w:tblPr>
      <w:tblGrid>
        <w:gridCol w:w="1635"/>
        <w:gridCol w:w="1635"/>
        <w:gridCol w:w="1678"/>
        <w:gridCol w:w="1636"/>
        <w:gridCol w:w="1636"/>
        <w:gridCol w:w="1634"/>
      </w:tblGrid>
      <w:tr w:rsidR="008C7596" w:rsidRPr="008C7596" w:rsidTr="00025FCD">
        <w:tc>
          <w:tcPr>
            <w:tcW w:w="830" w:type="pct"/>
            <w:tcBorders>
              <w:top w:val="single" w:sz="4" w:space="0" w:color="auto"/>
              <w:left w:val="single" w:sz="4" w:space="0" w:color="auto"/>
              <w:bottom w:val="single" w:sz="4" w:space="0" w:color="auto"/>
              <w:right w:val="single" w:sz="4" w:space="0" w:color="auto"/>
            </w:tcBorders>
            <w:vAlign w:val="center"/>
          </w:tcPr>
          <w:p w:rsidR="008C7596" w:rsidRPr="008C7596" w:rsidRDefault="008C7596" w:rsidP="008C7596">
            <w:pPr>
              <w:jc w:val="center"/>
              <w:rPr>
                <w:rFonts w:ascii="Century Gothic" w:hAnsi="Century Gothic"/>
                <w:sz w:val="28"/>
              </w:rPr>
            </w:pPr>
          </w:p>
        </w:tc>
        <w:tc>
          <w:tcPr>
            <w:tcW w:w="830" w:type="pct"/>
            <w:tcBorders>
              <w:top w:val="single" w:sz="4" w:space="0" w:color="auto"/>
              <w:left w:val="single" w:sz="4" w:space="0" w:color="auto"/>
              <w:bottom w:val="single" w:sz="4" w:space="0" w:color="auto"/>
              <w:right w:val="single" w:sz="4" w:space="0" w:color="auto"/>
            </w:tcBorders>
            <w:vAlign w:val="center"/>
          </w:tcPr>
          <w:p w:rsidR="008C7596" w:rsidRPr="008C7596" w:rsidRDefault="008C7596" w:rsidP="008C7596">
            <w:pPr>
              <w:spacing w:line="210" w:lineRule="atLeast"/>
              <w:jc w:val="center"/>
              <w:rPr>
                <w:rFonts w:ascii="Arial" w:hAnsi="Arial" w:cs="Arial"/>
                <w:b/>
                <w:bCs/>
                <w:color w:val="494949"/>
                <w:sz w:val="28"/>
                <w:szCs w:val="20"/>
              </w:rPr>
            </w:pPr>
            <w:r w:rsidRPr="008C7596">
              <w:rPr>
                <w:rFonts w:ascii="Arial" w:hAnsi="Arial" w:cs="Arial"/>
                <w:b/>
                <w:bCs/>
                <w:color w:val="494949"/>
                <w:sz w:val="28"/>
                <w:szCs w:val="20"/>
              </w:rPr>
              <w:t>Banca Pop. di Milano</w:t>
            </w:r>
          </w:p>
          <w:p w:rsidR="008C7596" w:rsidRPr="008C7596" w:rsidRDefault="008C7596" w:rsidP="008C7596">
            <w:pPr>
              <w:spacing w:line="210" w:lineRule="atLeast"/>
              <w:jc w:val="center"/>
              <w:rPr>
                <w:rFonts w:ascii="Arial" w:hAnsi="Arial" w:cs="Arial"/>
                <w:b/>
                <w:bCs/>
                <w:color w:val="494949"/>
                <w:sz w:val="28"/>
                <w:szCs w:val="20"/>
              </w:rPr>
            </w:pPr>
          </w:p>
        </w:tc>
        <w:tc>
          <w:tcPr>
            <w:tcW w:w="851" w:type="pct"/>
            <w:tcBorders>
              <w:top w:val="single" w:sz="4" w:space="0" w:color="auto"/>
              <w:left w:val="single" w:sz="4" w:space="0" w:color="auto"/>
              <w:bottom w:val="single" w:sz="4" w:space="0" w:color="auto"/>
              <w:right w:val="single" w:sz="4" w:space="0" w:color="auto"/>
            </w:tcBorders>
            <w:vAlign w:val="center"/>
          </w:tcPr>
          <w:p w:rsidR="008C7596" w:rsidRPr="008C7596" w:rsidRDefault="008C7596" w:rsidP="008C7596">
            <w:pPr>
              <w:spacing w:line="210" w:lineRule="atLeast"/>
              <w:jc w:val="center"/>
              <w:rPr>
                <w:rFonts w:ascii="Arial" w:hAnsi="Arial" w:cs="Arial"/>
                <w:b/>
                <w:bCs/>
                <w:color w:val="494949"/>
                <w:sz w:val="28"/>
                <w:szCs w:val="20"/>
              </w:rPr>
            </w:pPr>
            <w:r w:rsidRPr="008C7596">
              <w:rPr>
                <w:rFonts w:ascii="Arial" w:hAnsi="Arial" w:cs="Arial"/>
                <w:b/>
                <w:bCs/>
                <w:color w:val="494949"/>
                <w:sz w:val="28"/>
                <w:szCs w:val="20"/>
              </w:rPr>
              <w:t>Banca MPS</w:t>
            </w:r>
          </w:p>
          <w:p w:rsidR="008C7596" w:rsidRPr="008C7596" w:rsidRDefault="008C7596" w:rsidP="008C7596">
            <w:pPr>
              <w:spacing w:line="210" w:lineRule="atLeast"/>
              <w:jc w:val="center"/>
              <w:rPr>
                <w:rFonts w:ascii="Arial" w:hAnsi="Arial" w:cs="Arial"/>
                <w:b/>
                <w:bCs/>
                <w:color w:val="494949"/>
                <w:sz w:val="28"/>
                <w:szCs w:val="20"/>
              </w:rPr>
            </w:pPr>
          </w:p>
        </w:tc>
        <w:tc>
          <w:tcPr>
            <w:tcW w:w="830" w:type="pct"/>
            <w:tcBorders>
              <w:top w:val="single" w:sz="4" w:space="0" w:color="auto"/>
              <w:left w:val="single" w:sz="4" w:space="0" w:color="auto"/>
              <w:bottom w:val="single" w:sz="4" w:space="0" w:color="auto"/>
              <w:right w:val="single" w:sz="4" w:space="0" w:color="auto"/>
            </w:tcBorders>
            <w:vAlign w:val="center"/>
          </w:tcPr>
          <w:p w:rsidR="008C7596" w:rsidRPr="008C7596" w:rsidRDefault="008C7596" w:rsidP="008C7596">
            <w:pPr>
              <w:spacing w:line="210" w:lineRule="atLeast"/>
              <w:jc w:val="center"/>
              <w:rPr>
                <w:rFonts w:ascii="Arial" w:hAnsi="Arial" w:cs="Arial"/>
                <w:b/>
                <w:bCs/>
                <w:color w:val="494949"/>
                <w:sz w:val="28"/>
                <w:szCs w:val="20"/>
              </w:rPr>
            </w:pPr>
            <w:r w:rsidRPr="008C7596">
              <w:rPr>
                <w:rFonts w:ascii="Arial" w:hAnsi="Arial" w:cs="Arial"/>
                <w:b/>
                <w:bCs/>
                <w:color w:val="494949"/>
                <w:sz w:val="28"/>
                <w:szCs w:val="20"/>
              </w:rPr>
              <w:t>BNL</w:t>
            </w:r>
          </w:p>
          <w:p w:rsidR="008C7596" w:rsidRPr="008C7596" w:rsidRDefault="008C7596" w:rsidP="008C7596">
            <w:pPr>
              <w:spacing w:line="210" w:lineRule="atLeast"/>
              <w:jc w:val="center"/>
              <w:rPr>
                <w:rFonts w:ascii="Arial" w:hAnsi="Arial" w:cs="Arial"/>
                <w:b/>
                <w:bCs/>
                <w:color w:val="494949"/>
                <w:sz w:val="28"/>
                <w:szCs w:val="20"/>
              </w:rPr>
            </w:pPr>
          </w:p>
        </w:tc>
        <w:tc>
          <w:tcPr>
            <w:tcW w:w="830" w:type="pct"/>
            <w:tcBorders>
              <w:top w:val="single" w:sz="4" w:space="0" w:color="auto"/>
              <w:left w:val="single" w:sz="4" w:space="0" w:color="auto"/>
              <w:bottom w:val="single" w:sz="4" w:space="0" w:color="auto"/>
              <w:right w:val="single" w:sz="4" w:space="0" w:color="auto"/>
            </w:tcBorders>
            <w:vAlign w:val="center"/>
          </w:tcPr>
          <w:p w:rsidR="008C7596" w:rsidRPr="008C7596" w:rsidRDefault="008C7596" w:rsidP="008C7596">
            <w:pPr>
              <w:spacing w:line="210" w:lineRule="atLeast"/>
              <w:jc w:val="center"/>
              <w:rPr>
                <w:rFonts w:ascii="Arial" w:hAnsi="Arial" w:cs="Arial"/>
                <w:b/>
                <w:bCs/>
                <w:color w:val="494949"/>
                <w:sz w:val="28"/>
                <w:szCs w:val="20"/>
              </w:rPr>
            </w:pPr>
            <w:r w:rsidRPr="008C7596">
              <w:rPr>
                <w:rFonts w:ascii="Arial" w:hAnsi="Arial" w:cs="Arial"/>
                <w:b/>
                <w:bCs/>
                <w:color w:val="494949"/>
                <w:sz w:val="28"/>
                <w:szCs w:val="20"/>
              </w:rPr>
              <w:t>Unicredit.</w:t>
            </w:r>
          </w:p>
          <w:p w:rsidR="008C7596" w:rsidRPr="008C7596" w:rsidRDefault="008C7596" w:rsidP="008C7596">
            <w:pPr>
              <w:spacing w:line="210" w:lineRule="atLeast"/>
              <w:jc w:val="center"/>
              <w:rPr>
                <w:rFonts w:ascii="Arial" w:hAnsi="Arial" w:cs="Arial"/>
                <w:b/>
                <w:bCs/>
                <w:color w:val="494949"/>
                <w:sz w:val="28"/>
                <w:szCs w:val="20"/>
              </w:rPr>
            </w:pPr>
          </w:p>
        </w:tc>
        <w:tc>
          <w:tcPr>
            <w:tcW w:w="830" w:type="pct"/>
            <w:tcBorders>
              <w:top w:val="single" w:sz="4" w:space="0" w:color="auto"/>
              <w:left w:val="single" w:sz="4" w:space="0" w:color="auto"/>
              <w:bottom w:val="single" w:sz="4" w:space="0" w:color="auto"/>
              <w:right w:val="single" w:sz="4" w:space="0" w:color="auto"/>
            </w:tcBorders>
            <w:vAlign w:val="center"/>
          </w:tcPr>
          <w:p w:rsidR="008C7596" w:rsidRPr="008C7596" w:rsidRDefault="008C7596" w:rsidP="008C7596">
            <w:pPr>
              <w:spacing w:line="210" w:lineRule="atLeast"/>
              <w:jc w:val="center"/>
              <w:rPr>
                <w:rFonts w:ascii="Arial" w:hAnsi="Arial" w:cs="Arial"/>
                <w:b/>
                <w:bCs/>
                <w:color w:val="494949"/>
                <w:sz w:val="28"/>
                <w:szCs w:val="20"/>
              </w:rPr>
            </w:pPr>
            <w:r w:rsidRPr="008C7596">
              <w:rPr>
                <w:rFonts w:ascii="Arial" w:hAnsi="Arial" w:cs="Arial"/>
                <w:b/>
                <w:bCs/>
                <w:color w:val="494949"/>
                <w:sz w:val="28"/>
                <w:szCs w:val="20"/>
              </w:rPr>
              <w:t>Intesa Sanpaolo</w:t>
            </w:r>
          </w:p>
          <w:p w:rsidR="008C7596" w:rsidRPr="008C7596" w:rsidRDefault="008C7596" w:rsidP="008C7596">
            <w:pPr>
              <w:spacing w:line="210" w:lineRule="atLeast"/>
              <w:jc w:val="center"/>
              <w:rPr>
                <w:rFonts w:ascii="Arial" w:hAnsi="Arial" w:cs="Arial"/>
                <w:b/>
                <w:bCs/>
                <w:color w:val="494949"/>
                <w:sz w:val="28"/>
                <w:szCs w:val="20"/>
              </w:rPr>
            </w:pPr>
          </w:p>
        </w:tc>
      </w:tr>
      <w:tr w:rsidR="008C7596" w:rsidRPr="008C7596" w:rsidTr="00025FCD">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rPr>
                <w:rFonts w:ascii="Arial" w:hAnsi="Arial" w:cs="Arial"/>
                <w:b/>
                <w:color w:val="494949"/>
                <w:sz w:val="18"/>
                <w:szCs w:val="18"/>
              </w:rPr>
            </w:pPr>
            <w:r w:rsidRPr="008C7596">
              <w:rPr>
                <w:rFonts w:ascii="Arial" w:hAnsi="Arial" w:cs="Arial"/>
                <w:b/>
                <w:bCs/>
                <w:color w:val="494949"/>
                <w:sz w:val="18"/>
                <w:szCs w:val="18"/>
              </w:rPr>
              <w:t>Indicatore Sintetico di Costo</w:t>
            </w:r>
            <w:r w:rsidRPr="008C7596">
              <w:rPr>
                <w:rFonts w:ascii="Arial" w:hAnsi="Arial" w:cs="Arial"/>
                <w:b/>
                <w:color w:val="494949"/>
                <w:sz w:val="18"/>
                <w:szCs w:val="18"/>
              </w:rPr>
              <w:t xml:space="preserve"> per profilo a bassa </w:t>
            </w:r>
            <w:proofErr w:type="spellStart"/>
            <w:r w:rsidRPr="008C7596">
              <w:rPr>
                <w:rFonts w:ascii="Arial" w:hAnsi="Arial" w:cs="Arial"/>
                <w:b/>
                <w:color w:val="494949"/>
                <w:sz w:val="18"/>
                <w:szCs w:val="18"/>
              </w:rPr>
              <w:t>operativita'</w:t>
            </w:r>
            <w:proofErr w:type="spellEnd"/>
          </w:p>
        </w:tc>
        <w:tc>
          <w:tcPr>
            <w:tcW w:w="830" w:type="pct"/>
            <w:tcBorders>
              <w:top w:val="single" w:sz="4" w:space="0" w:color="auto"/>
              <w:left w:val="single" w:sz="4" w:space="0" w:color="auto"/>
              <w:bottom w:val="single" w:sz="4" w:space="0" w:color="auto"/>
              <w:right w:val="single" w:sz="4" w:space="0" w:color="auto"/>
            </w:tcBorders>
            <w:vAlign w:val="center"/>
            <w:hideMark/>
          </w:tcPr>
          <w:p w:rsidR="008C7596" w:rsidRPr="008C7596" w:rsidRDefault="008C7596" w:rsidP="008C7596">
            <w:pPr>
              <w:spacing w:line="210" w:lineRule="atLeast"/>
              <w:jc w:val="right"/>
              <w:rPr>
                <w:rFonts w:ascii="Arial" w:hAnsi="Arial" w:cs="Arial"/>
                <w:b/>
                <w:color w:val="494949"/>
                <w:sz w:val="18"/>
                <w:szCs w:val="18"/>
              </w:rPr>
            </w:pPr>
            <w:r w:rsidRPr="008C7596">
              <w:rPr>
                <w:rFonts w:ascii="Arial" w:hAnsi="Arial" w:cs="Arial"/>
                <w:b/>
                <w:color w:val="494949"/>
                <w:sz w:val="18"/>
                <w:szCs w:val="18"/>
              </w:rPr>
              <w:t>€ 272,66</w:t>
            </w:r>
          </w:p>
        </w:tc>
        <w:tc>
          <w:tcPr>
            <w:tcW w:w="851" w:type="pct"/>
            <w:tcBorders>
              <w:top w:val="single" w:sz="4" w:space="0" w:color="auto"/>
              <w:left w:val="single" w:sz="4" w:space="0" w:color="auto"/>
              <w:bottom w:val="single" w:sz="4" w:space="0" w:color="auto"/>
              <w:right w:val="single" w:sz="4" w:space="0" w:color="auto"/>
            </w:tcBorders>
            <w:vAlign w:val="center"/>
            <w:hideMark/>
          </w:tcPr>
          <w:p w:rsidR="008C7596" w:rsidRPr="008C7596" w:rsidRDefault="008C7596" w:rsidP="008C7596">
            <w:pPr>
              <w:spacing w:line="210" w:lineRule="atLeast"/>
              <w:jc w:val="right"/>
              <w:rPr>
                <w:rFonts w:ascii="Arial" w:hAnsi="Arial" w:cs="Arial"/>
                <w:b/>
                <w:color w:val="494949"/>
                <w:sz w:val="18"/>
                <w:szCs w:val="18"/>
              </w:rPr>
            </w:pPr>
            <w:r w:rsidRPr="008C7596">
              <w:rPr>
                <w:rFonts w:ascii="Arial" w:hAnsi="Arial" w:cs="Arial"/>
                <w:b/>
                <w:color w:val="494949"/>
                <w:sz w:val="18"/>
                <w:szCs w:val="18"/>
              </w:rPr>
              <w:t>€ 291,30</w:t>
            </w:r>
          </w:p>
        </w:tc>
        <w:tc>
          <w:tcPr>
            <w:tcW w:w="830" w:type="pct"/>
            <w:tcBorders>
              <w:top w:val="single" w:sz="4" w:space="0" w:color="auto"/>
              <w:left w:val="single" w:sz="4" w:space="0" w:color="auto"/>
              <w:bottom w:val="single" w:sz="4" w:space="0" w:color="auto"/>
              <w:right w:val="single" w:sz="4" w:space="0" w:color="auto"/>
            </w:tcBorders>
            <w:vAlign w:val="center"/>
            <w:hideMark/>
          </w:tcPr>
          <w:p w:rsidR="008C7596" w:rsidRPr="008C7596" w:rsidRDefault="008C7596" w:rsidP="008C7596">
            <w:pPr>
              <w:spacing w:line="210" w:lineRule="atLeast"/>
              <w:jc w:val="right"/>
              <w:rPr>
                <w:rFonts w:ascii="Arial" w:hAnsi="Arial" w:cs="Arial"/>
                <w:b/>
                <w:color w:val="494949"/>
                <w:sz w:val="18"/>
                <w:szCs w:val="18"/>
              </w:rPr>
            </w:pPr>
            <w:r w:rsidRPr="008C7596">
              <w:rPr>
                <w:rFonts w:ascii="Arial" w:hAnsi="Arial" w:cs="Arial"/>
                <w:b/>
                <w:color w:val="494949"/>
                <w:sz w:val="18"/>
                <w:szCs w:val="18"/>
              </w:rPr>
              <w:t>238,35 €</w:t>
            </w:r>
          </w:p>
        </w:tc>
        <w:tc>
          <w:tcPr>
            <w:tcW w:w="830" w:type="pct"/>
            <w:tcBorders>
              <w:top w:val="single" w:sz="4" w:space="0" w:color="auto"/>
              <w:left w:val="single" w:sz="4" w:space="0" w:color="auto"/>
              <w:bottom w:val="single" w:sz="4" w:space="0" w:color="auto"/>
              <w:right w:val="single" w:sz="4" w:space="0" w:color="auto"/>
            </w:tcBorders>
            <w:vAlign w:val="center"/>
            <w:hideMark/>
          </w:tcPr>
          <w:p w:rsidR="008C7596" w:rsidRPr="008C7596" w:rsidRDefault="008C7596" w:rsidP="008C7596">
            <w:pPr>
              <w:spacing w:line="210" w:lineRule="atLeast"/>
              <w:jc w:val="right"/>
              <w:rPr>
                <w:rFonts w:ascii="Arial" w:hAnsi="Arial" w:cs="Arial"/>
                <w:b/>
                <w:color w:val="494949"/>
                <w:sz w:val="18"/>
                <w:szCs w:val="18"/>
              </w:rPr>
            </w:pPr>
            <w:r w:rsidRPr="008C7596">
              <w:rPr>
                <w:rFonts w:ascii="Arial" w:hAnsi="Arial" w:cs="Arial"/>
                <w:b/>
                <w:color w:val="494949"/>
                <w:sz w:val="18"/>
                <w:szCs w:val="18"/>
              </w:rPr>
              <w:t>€ 337,18</w:t>
            </w:r>
          </w:p>
        </w:tc>
        <w:tc>
          <w:tcPr>
            <w:tcW w:w="830" w:type="pct"/>
            <w:tcBorders>
              <w:top w:val="single" w:sz="4" w:space="0" w:color="auto"/>
              <w:left w:val="single" w:sz="4" w:space="0" w:color="auto"/>
              <w:bottom w:val="single" w:sz="4" w:space="0" w:color="auto"/>
              <w:right w:val="single" w:sz="4" w:space="0" w:color="auto"/>
            </w:tcBorders>
            <w:vAlign w:val="center"/>
            <w:hideMark/>
          </w:tcPr>
          <w:p w:rsidR="008C7596" w:rsidRPr="008C7596" w:rsidRDefault="008C7596" w:rsidP="008C7596">
            <w:pPr>
              <w:spacing w:line="210" w:lineRule="atLeast"/>
              <w:jc w:val="right"/>
              <w:rPr>
                <w:rFonts w:ascii="Arial" w:hAnsi="Arial" w:cs="Arial"/>
                <w:b/>
                <w:color w:val="494949"/>
                <w:sz w:val="18"/>
                <w:szCs w:val="18"/>
              </w:rPr>
            </w:pPr>
            <w:r w:rsidRPr="008C7596">
              <w:rPr>
                <w:rFonts w:ascii="Arial" w:hAnsi="Arial" w:cs="Arial"/>
                <w:b/>
                <w:color w:val="494949"/>
                <w:sz w:val="18"/>
                <w:szCs w:val="18"/>
              </w:rPr>
              <w:t>€ 273,20</w:t>
            </w:r>
          </w:p>
        </w:tc>
      </w:tr>
      <w:tr w:rsidR="008C7596" w:rsidRPr="008C7596" w:rsidTr="00025FCD">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rPr>
                <w:rFonts w:ascii="Arial" w:hAnsi="Arial" w:cs="Arial"/>
                <w:color w:val="494949"/>
                <w:sz w:val="18"/>
                <w:szCs w:val="18"/>
              </w:rPr>
            </w:pPr>
            <w:r w:rsidRPr="008C7596">
              <w:rPr>
                <w:rFonts w:ascii="Arial" w:hAnsi="Arial" w:cs="Arial"/>
                <w:color w:val="494949"/>
                <w:sz w:val="18"/>
                <w:szCs w:val="18"/>
              </w:rPr>
              <w:t>Spese di liquidazione</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€ 15,00 A (s)</w:t>
            </w:r>
          </w:p>
        </w:tc>
        <w:tc>
          <w:tcPr>
            <w:tcW w:w="851"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€ 64,00 (A) ( € 16,00 t)</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15,00 € (T)</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€ 92,00 A (€ 23,00 T)</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€ 64,00 A (€ 16,00 </w:t>
            </w:r>
          </w:p>
        </w:tc>
      </w:tr>
      <w:tr w:rsidR="008C7596" w:rsidRPr="008C7596" w:rsidTr="00025FCD">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rPr>
                <w:rFonts w:ascii="Arial" w:hAnsi="Arial" w:cs="Arial"/>
                <w:i/>
                <w:iCs/>
                <w:color w:val="494949"/>
                <w:sz w:val="18"/>
                <w:szCs w:val="18"/>
                <w:shd w:val="clear" w:color="auto" w:fill="EDEDED"/>
              </w:rPr>
            </w:pPr>
            <w:r w:rsidRPr="008C7596">
              <w:rPr>
                <w:rFonts w:ascii="Arial" w:hAnsi="Arial" w:cs="Arial"/>
                <w:i/>
                <w:iCs/>
                <w:color w:val="494949"/>
                <w:sz w:val="18"/>
                <w:szCs w:val="18"/>
                <w:shd w:val="clear" w:color="auto" w:fill="EDEDED"/>
              </w:rPr>
              <w:t xml:space="preserve">Gestione </w:t>
            </w:r>
            <w:proofErr w:type="spellStart"/>
            <w:r w:rsidRPr="008C7596">
              <w:rPr>
                <w:rFonts w:ascii="Arial" w:hAnsi="Arial" w:cs="Arial"/>
                <w:i/>
                <w:iCs/>
                <w:color w:val="494949"/>
                <w:sz w:val="18"/>
                <w:szCs w:val="18"/>
                <w:shd w:val="clear" w:color="auto" w:fill="EDEDED"/>
              </w:rPr>
              <w:t>liquidita'</w:t>
            </w:r>
            <w:proofErr w:type="spellEnd"/>
          </w:p>
        </w:tc>
        <w:tc>
          <w:tcPr>
            <w:tcW w:w="830"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spacing w:line="210" w:lineRule="atLeast"/>
              <w:jc w:val="right"/>
              <w:rPr>
                <w:rFonts w:ascii="Arial" w:hAnsi="Arial" w:cs="Arial"/>
                <w:color w:val="494949"/>
                <w:sz w:val="18"/>
                <w:szCs w:val="18"/>
              </w:rPr>
            </w:pPr>
          </w:p>
        </w:tc>
        <w:tc>
          <w:tcPr>
            <w:tcW w:w="851"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spacing w:line="210" w:lineRule="atLeast"/>
              <w:jc w:val="right"/>
              <w:rPr>
                <w:rFonts w:ascii="Arial" w:hAnsi="Arial" w:cs="Arial"/>
                <w:color w:val="494949"/>
                <w:sz w:val="18"/>
                <w:szCs w:val="18"/>
              </w:rPr>
            </w:pPr>
          </w:p>
        </w:tc>
        <w:tc>
          <w:tcPr>
            <w:tcW w:w="830"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spacing w:line="210" w:lineRule="atLeast"/>
              <w:jc w:val="right"/>
              <w:rPr>
                <w:rFonts w:ascii="Arial" w:hAnsi="Arial" w:cs="Arial"/>
                <w:color w:val="494949"/>
                <w:sz w:val="18"/>
                <w:szCs w:val="18"/>
              </w:rPr>
            </w:pPr>
          </w:p>
        </w:tc>
        <w:tc>
          <w:tcPr>
            <w:tcW w:w="830"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spacing w:line="210" w:lineRule="atLeast"/>
              <w:jc w:val="right"/>
              <w:rPr>
                <w:rFonts w:ascii="Arial" w:hAnsi="Arial" w:cs="Arial"/>
                <w:color w:val="494949"/>
                <w:sz w:val="18"/>
                <w:szCs w:val="18"/>
              </w:rPr>
            </w:pPr>
          </w:p>
        </w:tc>
        <w:tc>
          <w:tcPr>
            <w:tcW w:w="830"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spacing w:line="210" w:lineRule="atLeast"/>
              <w:jc w:val="right"/>
              <w:rPr>
                <w:rFonts w:ascii="Arial" w:hAnsi="Arial" w:cs="Arial"/>
                <w:color w:val="494949"/>
                <w:sz w:val="18"/>
                <w:szCs w:val="18"/>
              </w:rPr>
            </w:pPr>
          </w:p>
        </w:tc>
      </w:tr>
      <w:tr w:rsidR="008C7596" w:rsidRPr="008C7596" w:rsidTr="00025FCD">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rPr>
                <w:rFonts w:ascii="Arial" w:hAnsi="Arial" w:cs="Arial"/>
                <w:color w:val="494949"/>
                <w:sz w:val="18"/>
                <w:szCs w:val="18"/>
              </w:rPr>
            </w:pPr>
            <w:r w:rsidRPr="008C7596">
              <w:rPr>
                <w:rFonts w:ascii="Arial" w:hAnsi="Arial" w:cs="Arial"/>
                <w:color w:val="494949"/>
                <w:sz w:val="18"/>
                <w:szCs w:val="18"/>
              </w:rPr>
              <w:t>allo sportello</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€ 2</w:t>
            </w:r>
          </w:p>
        </w:tc>
        <w:tc>
          <w:tcPr>
            <w:tcW w:w="851"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da € 0,00 a € 2,60</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1,90 €</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€ 3,25</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€ 1,60 (s), (con un minimo di € 10,00 T)</w:t>
            </w:r>
          </w:p>
        </w:tc>
      </w:tr>
      <w:tr w:rsidR="008C7596" w:rsidRPr="008C7596" w:rsidTr="00025FCD">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rPr>
                <w:rFonts w:ascii="Arial" w:hAnsi="Arial" w:cs="Arial"/>
                <w:color w:val="494949"/>
                <w:sz w:val="18"/>
                <w:szCs w:val="18"/>
              </w:rPr>
            </w:pPr>
            <w:r w:rsidRPr="008C7596">
              <w:rPr>
                <w:rFonts w:ascii="Arial" w:hAnsi="Arial" w:cs="Arial"/>
                <w:color w:val="494949"/>
                <w:sz w:val="18"/>
                <w:szCs w:val="18"/>
              </w:rPr>
              <w:t>Banca via internet</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€ 2 M</w:t>
            </w:r>
          </w:p>
        </w:tc>
        <w:tc>
          <w:tcPr>
            <w:tcW w:w="851"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gratuita</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0 € (standard)</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€ 0</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€ 0,00 (s)</w:t>
            </w:r>
          </w:p>
        </w:tc>
      </w:tr>
      <w:tr w:rsidR="008C7596" w:rsidRPr="008C7596" w:rsidTr="00025FCD">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rPr>
                <w:rFonts w:ascii="Arial" w:hAnsi="Arial" w:cs="Arial"/>
                <w:color w:val="494949"/>
                <w:sz w:val="18"/>
                <w:szCs w:val="18"/>
              </w:rPr>
            </w:pPr>
            <w:r w:rsidRPr="008C7596">
              <w:rPr>
                <w:rFonts w:ascii="Arial" w:hAnsi="Arial" w:cs="Arial"/>
                <w:color w:val="494949"/>
                <w:sz w:val="18"/>
                <w:szCs w:val="18"/>
              </w:rPr>
              <w:t>Banca telefonica</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€ 0</w:t>
            </w:r>
          </w:p>
        </w:tc>
        <w:tc>
          <w:tcPr>
            <w:tcW w:w="851"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gratuita</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0 € (standard)</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€ 0</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€ 0,00 (s)</w:t>
            </w:r>
          </w:p>
        </w:tc>
      </w:tr>
      <w:tr w:rsidR="008C7596" w:rsidRPr="008C7596" w:rsidTr="00025FCD">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rPr>
                <w:rFonts w:ascii="Arial" w:hAnsi="Arial" w:cs="Arial"/>
                <w:color w:val="494949"/>
                <w:sz w:val="18"/>
                <w:szCs w:val="18"/>
              </w:rPr>
            </w:pPr>
            <w:r w:rsidRPr="008C7596">
              <w:rPr>
                <w:rFonts w:ascii="Arial" w:hAnsi="Arial" w:cs="Arial"/>
                <w:i/>
                <w:iCs/>
                <w:color w:val="494949"/>
                <w:sz w:val="18"/>
                <w:szCs w:val="18"/>
                <w:shd w:val="clear" w:color="auto" w:fill="EDEDED"/>
              </w:rPr>
              <w:t>Commissione per prelievi Bancomat</w:t>
            </w:r>
          </w:p>
        </w:tc>
        <w:tc>
          <w:tcPr>
            <w:tcW w:w="830"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spacing w:line="210" w:lineRule="atLeast"/>
              <w:jc w:val="right"/>
              <w:rPr>
                <w:rFonts w:ascii="Arial" w:hAnsi="Arial" w:cs="Arial"/>
                <w:color w:val="494949"/>
                <w:sz w:val="18"/>
                <w:szCs w:val="18"/>
              </w:rPr>
            </w:pPr>
          </w:p>
        </w:tc>
        <w:tc>
          <w:tcPr>
            <w:tcW w:w="851"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spacing w:line="210" w:lineRule="atLeast"/>
              <w:jc w:val="right"/>
              <w:rPr>
                <w:rFonts w:ascii="Arial" w:hAnsi="Arial" w:cs="Arial"/>
                <w:color w:val="494949"/>
                <w:sz w:val="18"/>
                <w:szCs w:val="18"/>
              </w:rPr>
            </w:pPr>
          </w:p>
        </w:tc>
        <w:tc>
          <w:tcPr>
            <w:tcW w:w="830"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spacing w:line="210" w:lineRule="atLeast"/>
              <w:jc w:val="right"/>
              <w:rPr>
                <w:rFonts w:ascii="Arial" w:hAnsi="Arial" w:cs="Arial"/>
                <w:color w:val="494949"/>
                <w:sz w:val="18"/>
                <w:szCs w:val="18"/>
              </w:rPr>
            </w:pPr>
          </w:p>
        </w:tc>
        <w:tc>
          <w:tcPr>
            <w:tcW w:w="830"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spacing w:line="210" w:lineRule="atLeast"/>
              <w:jc w:val="right"/>
              <w:rPr>
                <w:rFonts w:ascii="Arial" w:hAnsi="Arial" w:cs="Arial"/>
                <w:color w:val="494949"/>
                <w:sz w:val="18"/>
                <w:szCs w:val="18"/>
              </w:rPr>
            </w:pPr>
          </w:p>
        </w:tc>
        <w:tc>
          <w:tcPr>
            <w:tcW w:w="830"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spacing w:line="210" w:lineRule="atLeast"/>
              <w:jc w:val="right"/>
              <w:rPr>
                <w:rFonts w:ascii="Arial" w:hAnsi="Arial" w:cs="Arial"/>
                <w:color w:val="494949"/>
                <w:sz w:val="18"/>
                <w:szCs w:val="18"/>
              </w:rPr>
            </w:pPr>
          </w:p>
        </w:tc>
      </w:tr>
      <w:tr w:rsidR="008C7596" w:rsidRPr="008C7596" w:rsidTr="00025FCD">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rPr>
                <w:rFonts w:ascii="Arial" w:hAnsi="Arial" w:cs="Arial"/>
                <w:color w:val="494949"/>
                <w:sz w:val="18"/>
                <w:szCs w:val="18"/>
              </w:rPr>
            </w:pPr>
            <w:r w:rsidRPr="008C7596">
              <w:rPr>
                <w:rFonts w:ascii="Arial" w:hAnsi="Arial" w:cs="Arial"/>
                <w:color w:val="494949"/>
                <w:sz w:val="18"/>
                <w:szCs w:val="18"/>
              </w:rPr>
              <w:t>Commissione per prelievi su sportelli altra banca</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€ 1,95</w:t>
            </w:r>
          </w:p>
        </w:tc>
        <w:tc>
          <w:tcPr>
            <w:tcW w:w="851"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€ 2,00</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xml:space="preserve">2,00 € </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€ 0 in Comuni dove non sono presenti Banche Unicredit; € 2 in Comuni dove sono presenti Banche Unicredit.</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xml:space="preserve">€ 2,00 </w:t>
            </w:r>
          </w:p>
        </w:tc>
      </w:tr>
      <w:tr w:rsidR="008C7596" w:rsidRPr="008C7596" w:rsidTr="00025FCD">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rPr>
                <w:rFonts w:ascii="Arial" w:hAnsi="Arial" w:cs="Arial"/>
                <w:color w:val="494949"/>
                <w:sz w:val="18"/>
                <w:szCs w:val="18"/>
              </w:rPr>
            </w:pPr>
            <w:r w:rsidRPr="008C7596">
              <w:rPr>
                <w:rFonts w:ascii="Arial" w:hAnsi="Arial" w:cs="Arial"/>
                <w:color w:val="494949"/>
                <w:sz w:val="18"/>
                <w:szCs w:val="18"/>
              </w:rPr>
              <w:t>Bonifici ordinari Italia disposti allo sportello con addebito in c/c</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€ 5</w:t>
            </w:r>
          </w:p>
        </w:tc>
        <w:tc>
          <w:tcPr>
            <w:tcW w:w="851"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da € 3,50 a € 4,50</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xml:space="preserve">4,50 € </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su nostra banca 4,00€; su altra banca 5,25€</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€ 3,75 (s) su Filiale della Banca (o altra banca del Gruppo)</w:t>
            </w:r>
          </w:p>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xml:space="preserve"> € 4,50 (s) su altre Banche</w:t>
            </w:r>
          </w:p>
        </w:tc>
      </w:tr>
      <w:tr w:rsidR="008C7596" w:rsidRPr="008C7596" w:rsidTr="00025FCD">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rPr>
                <w:rFonts w:ascii="Arial" w:hAnsi="Arial" w:cs="Arial"/>
                <w:color w:val="494949"/>
                <w:sz w:val="18"/>
                <w:szCs w:val="18"/>
              </w:rPr>
            </w:pPr>
            <w:r w:rsidRPr="008C7596">
              <w:rPr>
                <w:rFonts w:ascii="Arial" w:hAnsi="Arial" w:cs="Arial"/>
                <w:color w:val="494949"/>
                <w:sz w:val="18"/>
                <w:szCs w:val="18"/>
              </w:rPr>
              <w:t>Pagamento con domiciliazione</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€ 0</w:t>
            </w:r>
          </w:p>
        </w:tc>
        <w:tc>
          <w:tcPr>
            <w:tcW w:w="851"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€ 1,00</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xml:space="preserve">1,50 € </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€ 1,00</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€ 0,00 (s)</w:t>
            </w:r>
          </w:p>
        </w:tc>
      </w:tr>
      <w:tr w:rsidR="008C7596" w:rsidRPr="008C7596" w:rsidTr="00025FCD">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rPr>
                <w:rFonts w:ascii="Arial" w:hAnsi="Arial" w:cs="Arial"/>
                <w:b/>
                <w:bCs/>
                <w:color w:val="494949"/>
                <w:sz w:val="18"/>
                <w:szCs w:val="18"/>
              </w:rPr>
            </w:pPr>
            <w:r w:rsidRPr="008C7596">
              <w:rPr>
                <w:rFonts w:ascii="Arial" w:hAnsi="Arial" w:cs="Arial"/>
                <w:b/>
                <w:bCs/>
                <w:color w:val="494949"/>
                <w:sz w:val="18"/>
                <w:szCs w:val="18"/>
              </w:rPr>
              <w:t>Interessi somme depositate</w:t>
            </w:r>
          </w:p>
        </w:tc>
        <w:tc>
          <w:tcPr>
            <w:tcW w:w="830"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spacing w:line="210" w:lineRule="atLeast"/>
              <w:jc w:val="right"/>
              <w:rPr>
                <w:rFonts w:ascii="Arial" w:hAnsi="Arial" w:cs="Arial"/>
                <w:b/>
                <w:bCs/>
                <w:color w:val="494949"/>
                <w:sz w:val="18"/>
                <w:szCs w:val="18"/>
              </w:rPr>
            </w:pPr>
          </w:p>
        </w:tc>
        <w:tc>
          <w:tcPr>
            <w:tcW w:w="851"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spacing w:line="210" w:lineRule="atLeast"/>
              <w:jc w:val="right"/>
              <w:rPr>
                <w:rFonts w:ascii="Arial" w:hAnsi="Arial" w:cs="Arial"/>
                <w:b/>
                <w:bCs/>
                <w:color w:val="494949"/>
                <w:sz w:val="18"/>
                <w:szCs w:val="18"/>
              </w:rPr>
            </w:pPr>
          </w:p>
        </w:tc>
        <w:tc>
          <w:tcPr>
            <w:tcW w:w="830"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spacing w:line="210" w:lineRule="atLeast"/>
              <w:jc w:val="right"/>
              <w:rPr>
                <w:rFonts w:ascii="Arial" w:hAnsi="Arial" w:cs="Arial"/>
                <w:b/>
                <w:bCs/>
                <w:color w:val="494949"/>
                <w:sz w:val="18"/>
                <w:szCs w:val="18"/>
              </w:rPr>
            </w:pPr>
          </w:p>
        </w:tc>
        <w:tc>
          <w:tcPr>
            <w:tcW w:w="830"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spacing w:line="210" w:lineRule="atLeast"/>
              <w:jc w:val="right"/>
              <w:rPr>
                <w:rFonts w:ascii="Arial" w:hAnsi="Arial" w:cs="Arial"/>
                <w:b/>
                <w:bCs/>
                <w:color w:val="494949"/>
                <w:sz w:val="18"/>
                <w:szCs w:val="18"/>
              </w:rPr>
            </w:pPr>
          </w:p>
        </w:tc>
        <w:tc>
          <w:tcPr>
            <w:tcW w:w="830"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spacing w:line="210" w:lineRule="atLeast"/>
              <w:jc w:val="right"/>
              <w:rPr>
                <w:rFonts w:ascii="Arial" w:hAnsi="Arial" w:cs="Arial"/>
                <w:b/>
                <w:bCs/>
                <w:color w:val="494949"/>
                <w:sz w:val="18"/>
                <w:szCs w:val="18"/>
              </w:rPr>
            </w:pPr>
          </w:p>
        </w:tc>
      </w:tr>
      <w:tr w:rsidR="008C7596" w:rsidRPr="008C7596" w:rsidTr="00025FCD">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rPr>
                <w:rFonts w:ascii="Arial" w:hAnsi="Arial" w:cs="Arial"/>
                <w:color w:val="494949"/>
                <w:sz w:val="18"/>
                <w:szCs w:val="18"/>
              </w:rPr>
            </w:pPr>
            <w:r w:rsidRPr="008C7596">
              <w:rPr>
                <w:rFonts w:ascii="Arial" w:hAnsi="Arial" w:cs="Arial"/>
                <w:color w:val="494949"/>
                <w:sz w:val="18"/>
                <w:szCs w:val="18"/>
              </w:rPr>
              <w:t>Tasso creditore annuo nominale</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0,010 % A (accredito T)</w:t>
            </w:r>
          </w:p>
        </w:tc>
        <w:tc>
          <w:tcPr>
            <w:tcW w:w="851"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spacing w:line="210" w:lineRule="atLeast"/>
              <w:jc w:val="right"/>
              <w:rPr>
                <w:rFonts w:ascii="Arial" w:hAnsi="Arial" w:cs="Arial"/>
                <w:color w:val="494949"/>
                <w:sz w:val="18"/>
                <w:szCs w:val="18"/>
              </w:rPr>
            </w:pP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0,010 % A (accredito T)</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0,010% A (accredito T)</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minimo 0,010% A (accredito T)</w:t>
            </w:r>
          </w:p>
        </w:tc>
      </w:tr>
      <w:tr w:rsidR="008C7596" w:rsidRPr="008C7596" w:rsidTr="00025FCD">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rPr>
                <w:rFonts w:ascii="Century Gothic" w:hAnsi="Century Gothic"/>
              </w:rPr>
            </w:pPr>
            <w:r w:rsidRPr="008C7596">
              <w:rPr>
                <w:rFonts w:ascii="Century Gothic" w:hAnsi="Century Gothic"/>
              </w:rPr>
              <w:t>Fidi</w:t>
            </w:r>
          </w:p>
        </w:tc>
        <w:tc>
          <w:tcPr>
            <w:tcW w:w="830"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c>
          <w:tcPr>
            <w:tcW w:w="851"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c>
          <w:tcPr>
            <w:tcW w:w="830"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c>
          <w:tcPr>
            <w:tcW w:w="830"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c>
          <w:tcPr>
            <w:tcW w:w="830"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r>
      <w:tr w:rsidR="008C7596" w:rsidRPr="008C7596" w:rsidTr="00025FCD">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rPr>
                <w:rFonts w:ascii="Arial" w:hAnsi="Arial" w:cs="Arial"/>
                <w:color w:val="494949"/>
                <w:sz w:val="18"/>
                <w:szCs w:val="18"/>
              </w:rPr>
            </w:pPr>
            <w:r w:rsidRPr="008C7596">
              <w:rPr>
                <w:rFonts w:ascii="Arial" w:hAnsi="Arial" w:cs="Arial"/>
                <w:color w:val="494949"/>
                <w:sz w:val="18"/>
                <w:szCs w:val="18"/>
              </w:rPr>
              <w:t>Tasso debitore annuo nominale sulle somme utilizzate</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Riportato sul documento "Informazioni europee di base sul credito ai consumatori"</w:t>
            </w:r>
          </w:p>
        </w:tc>
        <w:tc>
          <w:tcPr>
            <w:tcW w:w="851"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15,50%(A) fascia fino a € 5.000,00,14,35% (A) oltre euro 5000</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14,300% A (addebito T)</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per affidamenti fino a € 5.000 16,90%; per affidamenti oltre € 5.000 15,60% A (liquidazione T)</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Riportato sul documento "Informazioni europee di base sul credito ai consumatori"</w:t>
            </w:r>
          </w:p>
        </w:tc>
      </w:tr>
      <w:tr w:rsidR="008C7596" w:rsidRPr="008C7596" w:rsidTr="00025FCD">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rPr>
                <w:rFonts w:ascii="Arial" w:hAnsi="Arial" w:cs="Arial"/>
                <w:color w:val="494949"/>
                <w:sz w:val="18"/>
                <w:szCs w:val="18"/>
              </w:rPr>
            </w:pPr>
            <w:r w:rsidRPr="008C7596">
              <w:rPr>
                <w:rFonts w:ascii="Arial" w:hAnsi="Arial" w:cs="Arial"/>
                <w:color w:val="494949"/>
                <w:sz w:val="18"/>
                <w:szCs w:val="18"/>
              </w:rPr>
              <w:t>commissione onnicomprensiva</w:t>
            </w:r>
          </w:p>
        </w:tc>
        <w:tc>
          <w:tcPr>
            <w:tcW w:w="830"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spacing w:line="480" w:lineRule="auto"/>
              <w:jc w:val="center"/>
              <w:rPr>
                <w:rFonts w:ascii="Arial" w:hAnsi="Arial" w:cs="Arial"/>
                <w:b/>
                <w:color w:val="494949"/>
                <w:sz w:val="24"/>
                <w:szCs w:val="18"/>
              </w:rPr>
            </w:pPr>
          </w:p>
          <w:p w:rsidR="008C7596" w:rsidRPr="008C7596" w:rsidRDefault="008C7596" w:rsidP="008C7596">
            <w:pPr>
              <w:spacing w:line="480" w:lineRule="auto"/>
              <w:jc w:val="center"/>
              <w:rPr>
                <w:rFonts w:ascii="Arial" w:hAnsi="Arial" w:cs="Arial"/>
                <w:b/>
                <w:color w:val="494949"/>
                <w:sz w:val="24"/>
                <w:szCs w:val="18"/>
              </w:rPr>
            </w:pPr>
            <w:r w:rsidRPr="008C7596">
              <w:rPr>
                <w:rFonts w:ascii="Arial" w:hAnsi="Arial" w:cs="Arial"/>
                <w:b/>
                <w:color w:val="494949"/>
                <w:sz w:val="24"/>
                <w:szCs w:val="18"/>
              </w:rPr>
              <w:t>“</w:t>
            </w:r>
          </w:p>
        </w:tc>
        <w:tc>
          <w:tcPr>
            <w:tcW w:w="851"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0,50%</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2 % (C.AF)</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0,50% (T) Corrispettivo per il servizio di disponibilità immediata fondi. Calcolato trimestralmente in proporzione all’importo ed alla durata dell’affidamento tempo per tempo concesso</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Riportato sul documento "Informazioni europee di base sul credito ai consumatori"</w:t>
            </w:r>
          </w:p>
        </w:tc>
      </w:tr>
      <w:tr w:rsidR="008C7596" w:rsidRPr="008C7596" w:rsidTr="00025FCD">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rPr>
                <w:rFonts w:ascii="Century Gothic" w:hAnsi="Century Gothic"/>
              </w:rPr>
            </w:pPr>
            <w:r w:rsidRPr="008C7596">
              <w:rPr>
                <w:rFonts w:ascii="Arial" w:hAnsi="Arial" w:cs="Arial"/>
                <w:i/>
                <w:iCs/>
                <w:color w:val="494949"/>
                <w:sz w:val="18"/>
                <w:szCs w:val="18"/>
                <w:shd w:val="clear" w:color="auto" w:fill="EDEDED"/>
              </w:rPr>
              <w:t>Sconfinamenti extra-fido</w:t>
            </w:r>
          </w:p>
        </w:tc>
        <w:tc>
          <w:tcPr>
            <w:tcW w:w="830"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center"/>
              <w:rPr>
                <w:rFonts w:ascii="Century Gothic" w:hAnsi="Century Gothic"/>
                <w:b/>
                <w:sz w:val="24"/>
              </w:rPr>
            </w:pPr>
          </w:p>
        </w:tc>
        <w:tc>
          <w:tcPr>
            <w:tcW w:w="851"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c>
          <w:tcPr>
            <w:tcW w:w="830"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c>
          <w:tcPr>
            <w:tcW w:w="830"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c>
          <w:tcPr>
            <w:tcW w:w="830"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r>
      <w:tr w:rsidR="008C7596" w:rsidRPr="008C7596" w:rsidTr="00025FCD">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rPr>
                <w:rFonts w:ascii="Arial" w:hAnsi="Arial" w:cs="Arial"/>
                <w:color w:val="494949"/>
                <w:sz w:val="18"/>
                <w:szCs w:val="18"/>
              </w:rPr>
            </w:pPr>
            <w:r w:rsidRPr="008C7596">
              <w:rPr>
                <w:rFonts w:ascii="Arial" w:hAnsi="Arial" w:cs="Arial"/>
                <w:color w:val="494949"/>
                <w:sz w:val="18"/>
                <w:szCs w:val="18"/>
              </w:rPr>
              <w:t>Tasso debitore annuo nominale sulle somme utilizzate</w:t>
            </w:r>
          </w:p>
        </w:tc>
        <w:tc>
          <w:tcPr>
            <w:tcW w:w="830"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spacing w:line="210" w:lineRule="atLeast"/>
              <w:jc w:val="center"/>
              <w:rPr>
                <w:rFonts w:ascii="Arial" w:hAnsi="Arial" w:cs="Arial"/>
                <w:b/>
                <w:color w:val="494949"/>
                <w:sz w:val="24"/>
                <w:szCs w:val="18"/>
              </w:rPr>
            </w:pPr>
          </w:p>
          <w:p w:rsidR="008C7596" w:rsidRPr="008C7596" w:rsidRDefault="008C7596" w:rsidP="008C7596">
            <w:pPr>
              <w:spacing w:line="210" w:lineRule="atLeast"/>
              <w:jc w:val="center"/>
              <w:rPr>
                <w:rFonts w:ascii="Arial" w:hAnsi="Arial" w:cs="Arial"/>
                <w:b/>
                <w:color w:val="494949"/>
                <w:sz w:val="24"/>
                <w:szCs w:val="18"/>
              </w:rPr>
            </w:pPr>
            <w:r w:rsidRPr="008C7596">
              <w:rPr>
                <w:rFonts w:ascii="Arial" w:hAnsi="Arial" w:cs="Arial"/>
                <w:b/>
                <w:color w:val="494949"/>
                <w:sz w:val="24"/>
                <w:szCs w:val="18"/>
              </w:rPr>
              <w:t>“</w:t>
            </w:r>
          </w:p>
        </w:tc>
        <w:tc>
          <w:tcPr>
            <w:tcW w:w="851"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proofErr w:type="spellStart"/>
            <w:r w:rsidRPr="008C7596">
              <w:rPr>
                <w:rFonts w:ascii="Arial" w:hAnsi="Arial" w:cs="Arial"/>
                <w:color w:val="494949"/>
                <w:sz w:val="18"/>
                <w:szCs w:val="18"/>
              </w:rPr>
              <w:t>max</w:t>
            </w:r>
            <w:proofErr w:type="spellEnd"/>
            <w:r w:rsidRPr="008C7596">
              <w:rPr>
                <w:rFonts w:ascii="Arial" w:hAnsi="Arial" w:cs="Arial"/>
                <w:color w:val="494949"/>
                <w:sz w:val="18"/>
                <w:szCs w:val="18"/>
              </w:rPr>
              <w:t xml:space="preserve"> 15,50%(A) fino a € 5.000,00,14,350% (A) oltre euro 5000,00</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14,300% A (addebito T)</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per utilizzi fino a € 5.000 16,90%; per utilizzi oltre € 5.000 15,60% A (liquidazione T)</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Riportato sul documento "Informazioni europee di base sul credito ai consumatori"</w:t>
            </w:r>
          </w:p>
        </w:tc>
      </w:tr>
      <w:tr w:rsidR="008C7596" w:rsidRPr="008C7596" w:rsidTr="00025FCD">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rPr>
                <w:rFonts w:ascii="Arial" w:hAnsi="Arial" w:cs="Arial"/>
                <w:color w:val="494949"/>
                <w:sz w:val="18"/>
                <w:szCs w:val="18"/>
              </w:rPr>
            </w:pPr>
            <w:r w:rsidRPr="008C7596">
              <w:rPr>
                <w:rFonts w:ascii="Arial" w:hAnsi="Arial" w:cs="Arial"/>
                <w:color w:val="494949"/>
                <w:sz w:val="18"/>
                <w:szCs w:val="18"/>
              </w:rPr>
              <w:t>commissione di istruttoria veloce</w:t>
            </w:r>
          </w:p>
        </w:tc>
        <w:tc>
          <w:tcPr>
            <w:tcW w:w="830"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spacing w:line="210" w:lineRule="atLeast"/>
              <w:jc w:val="center"/>
              <w:rPr>
                <w:rFonts w:ascii="Arial" w:hAnsi="Arial" w:cs="Arial"/>
                <w:b/>
                <w:color w:val="494949"/>
                <w:sz w:val="24"/>
                <w:szCs w:val="18"/>
              </w:rPr>
            </w:pPr>
          </w:p>
          <w:p w:rsidR="008C7596" w:rsidRPr="008C7596" w:rsidRDefault="008C7596" w:rsidP="008C7596">
            <w:pPr>
              <w:spacing w:line="210" w:lineRule="atLeast"/>
              <w:jc w:val="center"/>
              <w:rPr>
                <w:rFonts w:ascii="Arial" w:hAnsi="Arial" w:cs="Arial"/>
                <w:b/>
                <w:color w:val="494949"/>
                <w:sz w:val="24"/>
                <w:szCs w:val="18"/>
              </w:rPr>
            </w:pPr>
            <w:r w:rsidRPr="008C7596">
              <w:rPr>
                <w:rFonts w:ascii="Arial" w:hAnsi="Arial" w:cs="Arial"/>
                <w:b/>
                <w:color w:val="494949"/>
                <w:sz w:val="24"/>
                <w:szCs w:val="18"/>
              </w:rPr>
              <w:t>“</w:t>
            </w:r>
          </w:p>
        </w:tc>
        <w:tc>
          <w:tcPr>
            <w:tcW w:w="851"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xml:space="preserve">€ 50,00 franchigia ex </w:t>
            </w:r>
            <w:proofErr w:type="spellStart"/>
            <w:r w:rsidRPr="008C7596">
              <w:rPr>
                <w:rFonts w:ascii="Arial" w:hAnsi="Arial" w:cs="Arial"/>
                <w:color w:val="494949"/>
                <w:sz w:val="18"/>
                <w:szCs w:val="18"/>
              </w:rPr>
              <w:t>lege</w:t>
            </w:r>
            <w:proofErr w:type="spellEnd"/>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da 0 € fino 25€ (standard)</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50,00 euro, massimo trimestrale 500,00 euro</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Riportato sul documento "Informazioni europee di base sul credito ai consumatori"</w:t>
            </w:r>
          </w:p>
        </w:tc>
      </w:tr>
      <w:tr w:rsidR="008C7596" w:rsidRPr="008C7596" w:rsidTr="00025FCD">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rPr>
                <w:rFonts w:ascii="Arial" w:hAnsi="Arial" w:cs="Arial"/>
                <w:i/>
                <w:sz w:val="18"/>
                <w:szCs w:val="18"/>
              </w:rPr>
            </w:pPr>
            <w:r w:rsidRPr="008C7596">
              <w:rPr>
                <w:rFonts w:ascii="Arial" w:hAnsi="Arial" w:cs="Arial"/>
                <w:i/>
                <w:sz w:val="18"/>
                <w:szCs w:val="18"/>
              </w:rPr>
              <w:t>Sconfinamenti in assenza di  fido</w:t>
            </w:r>
          </w:p>
        </w:tc>
        <w:tc>
          <w:tcPr>
            <w:tcW w:w="830"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c>
          <w:tcPr>
            <w:tcW w:w="851"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c>
          <w:tcPr>
            <w:tcW w:w="830"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c>
          <w:tcPr>
            <w:tcW w:w="830"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c>
          <w:tcPr>
            <w:tcW w:w="830"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r>
      <w:tr w:rsidR="008C7596" w:rsidRPr="008C7596" w:rsidTr="00025FCD">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rPr>
                <w:rFonts w:ascii="Arial" w:hAnsi="Arial" w:cs="Arial"/>
                <w:color w:val="494949"/>
                <w:sz w:val="18"/>
                <w:szCs w:val="18"/>
              </w:rPr>
            </w:pPr>
            <w:r w:rsidRPr="008C7596">
              <w:rPr>
                <w:rFonts w:ascii="Arial" w:hAnsi="Arial" w:cs="Arial"/>
                <w:color w:val="494949"/>
                <w:sz w:val="18"/>
                <w:szCs w:val="18"/>
              </w:rPr>
              <w:t>Tasso debitore annuo nominale sulle somme utilizzate</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18,500% (addebito T) (s)</w:t>
            </w:r>
          </w:p>
        </w:tc>
        <w:tc>
          <w:tcPr>
            <w:tcW w:w="851"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16,85% fino ad € 1.500, 18,50% oltre € 1.500,19,80% oltre 5000,00</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16,50% A (addebito T)</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per utilizzi fino a € 5.000 16,90%; per utilizzi oltre € 5.000 15,60% A (</w:t>
            </w:r>
            <w:proofErr w:type="spellStart"/>
            <w:r w:rsidRPr="008C7596">
              <w:rPr>
                <w:rFonts w:ascii="Arial" w:hAnsi="Arial" w:cs="Arial"/>
                <w:color w:val="494949"/>
                <w:sz w:val="18"/>
                <w:szCs w:val="18"/>
              </w:rPr>
              <w:t>liquidaz</w:t>
            </w:r>
            <w:proofErr w:type="spellEnd"/>
            <w:r w:rsidRPr="008C7596">
              <w:rPr>
                <w:rFonts w:ascii="Arial" w:hAnsi="Arial" w:cs="Arial"/>
                <w:color w:val="494949"/>
                <w:sz w:val="18"/>
                <w:szCs w:val="18"/>
              </w:rPr>
              <w:t>. T)</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dal 01.04.2013 per gli sconfinamenti fino a 1.500,00 euro 21,8500% A (addebito T) (s) ; per gli sconfinamenti oltre i 1.500,00 euro 21,0625% A (addebito T) (s)</w:t>
            </w:r>
          </w:p>
        </w:tc>
      </w:tr>
      <w:tr w:rsidR="008C7596" w:rsidRPr="008C7596" w:rsidTr="00025FCD">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rPr>
                <w:rFonts w:ascii="Arial" w:hAnsi="Arial" w:cs="Arial"/>
                <w:color w:val="494949"/>
                <w:sz w:val="18"/>
                <w:szCs w:val="18"/>
              </w:rPr>
            </w:pPr>
            <w:r w:rsidRPr="008C7596">
              <w:rPr>
                <w:rFonts w:ascii="Arial" w:hAnsi="Arial" w:cs="Arial"/>
                <w:color w:val="494949"/>
                <w:sz w:val="18"/>
                <w:szCs w:val="18"/>
              </w:rPr>
              <w:t>commissione di istruttoria veloce</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importo 40,00 euro con un importo massimo trimestrale di 200,00 euro; saldo di sconfinamento in franchigia 150,00 euro ; incremento di sconfinamento in franchigia 150,00 euro ; ESCLUSIONI EX ART. 117 BIS TUB importo massimo saldo passivo 500,00 euro; numero giorni massimo consecutivi 7; numero di sconfinamenti nel trimestre 1</w:t>
            </w:r>
          </w:p>
        </w:tc>
        <w:tc>
          <w:tcPr>
            <w:tcW w:w="851"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xml:space="preserve">€ 50,00 franchigia ex </w:t>
            </w:r>
            <w:proofErr w:type="spellStart"/>
            <w:r w:rsidRPr="008C7596">
              <w:rPr>
                <w:rFonts w:ascii="Arial" w:hAnsi="Arial" w:cs="Arial"/>
                <w:color w:val="494949"/>
                <w:sz w:val="18"/>
                <w:szCs w:val="18"/>
              </w:rPr>
              <w:t>lege</w:t>
            </w:r>
            <w:proofErr w:type="spellEnd"/>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da 0 € fino 25€ (standard)</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50,00 euro, massimo trimestrale 500,00 euro</w:t>
            </w:r>
          </w:p>
        </w:tc>
        <w:tc>
          <w:tcPr>
            <w:tcW w:w="830"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€ 0,00 (s)</w:t>
            </w:r>
          </w:p>
        </w:tc>
      </w:tr>
    </w:tbl>
    <w:p w:rsidR="008C7596" w:rsidRPr="008C7596" w:rsidRDefault="008C7596" w:rsidP="008C7596">
      <w:pPr>
        <w:rPr>
          <w:rFonts w:ascii="Century Gothic" w:eastAsia="Calibri" w:hAnsi="Century Gothic" w:cs="Times New Roman"/>
        </w:rPr>
      </w:pPr>
    </w:p>
    <w:p w:rsidR="008C7596" w:rsidRPr="008C7596" w:rsidRDefault="008C7596" w:rsidP="008C7596">
      <w:pPr>
        <w:rPr>
          <w:rFonts w:ascii="Century Gothic" w:eastAsia="Calibri" w:hAnsi="Century Gothic" w:cs="Times New Roman"/>
        </w:rPr>
      </w:pPr>
      <w:r w:rsidRPr="008C7596">
        <w:rPr>
          <w:rFonts w:ascii="Century Gothic" w:eastAsia="Calibri" w:hAnsi="Century Gothic" w:cs="Times New Roman"/>
        </w:rPr>
        <w:br w:type="page"/>
      </w:r>
    </w:p>
    <w:tbl>
      <w:tblPr>
        <w:tblStyle w:val="Grigliatabella"/>
        <w:tblW w:w="5000" w:type="pct"/>
        <w:tblInd w:w="0" w:type="dxa"/>
        <w:tblLook w:val="04A0" w:firstRow="1" w:lastRow="0" w:firstColumn="1" w:lastColumn="0" w:noHBand="0" w:noVBand="1"/>
      </w:tblPr>
      <w:tblGrid>
        <w:gridCol w:w="1644"/>
        <w:gridCol w:w="1642"/>
        <w:gridCol w:w="1642"/>
        <w:gridCol w:w="1642"/>
        <w:gridCol w:w="1642"/>
        <w:gridCol w:w="1642"/>
      </w:tblGrid>
      <w:tr w:rsidR="008C7596" w:rsidRPr="008C7596" w:rsidTr="008C7596">
        <w:tc>
          <w:tcPr>
            <w:tcW w:w="834"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rPr>
                <w:rFonts w:ascii="Century Gothic" w:hAnsi="Century Gothic"/>
                <w:sz w:val="28"/>
              </w:rPr>
            </w:pPr>
            <w:r w:rsidRPr="008C7596">
              <w:rPr>
                <w:rFonts w:ascii="Century Gothic" w:hAnsi="Century Gothic"/>
              </w:rPr>
              <w:br w:type="page"/>
            </w:r>
          </w:p>
        </w:tc>
        <w:tc>
          <w:tcPr>
            <w:tcW w:w="833"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spacing w:line="210" w:lineRule="atLeast"/>
              <w:jc w:val="center"/>
              <w:rPr>
                <w:rFonts w:ascii="Arial" w:hAnsi="Arial" w:cs="Arial"/>
                <w:b/>
                <w:bCs/>
                <w:color w:val="494949"/>
                <w:sz w:val="28"/>
                <w:szCs w:val="20"/>
              </w:rPr>
            </w:pPr>
            <w:r w:rsidRPr="008C7596">
              <w:rPr>
                <w:rFonts w:ascii="Arial" w:hAnsi="Arial" w:cs="Arial"/>
                <w:b/>
                <w:bCs/>
                <w:color w:val="494949"/>
                <w:sz w:val="28"/>
                <w:szCs w:val="20"/>
              </w:rPr>
              <w:t xml:space="preserve">Banca Pop. di Vicenza - </w:t>
            </w:r>
          </w:p>
          <w:p w:rsidR="008C7596" w:rsidRPr="008C7596" w:rsidRDefault="008C7596" w:rsidP="008C7596">
            <w:pPr>
              <w:spacing w:line="210" w:lineRule="atLeast"/>
              <w:jc w:val="center"/>
              <w:rPr>
                <w:rFonts w:ascii="Arial" w:hAnsi="Arial" w:cs="Arial"/>
                <w:b/>
                <w:bCs/>
                <w:color w:val="494949"/>
                <w:sz w:val="28"/>
                <w:szCs w:val="20"/>
              </w:rPr>
            </w:pP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center"/>
              <w:rPr>
                <w:rFonts w:ascii="Arial" w:hAnsi="Arial" w:cs="Arial"/>
                <w:b/>
                <w:bCs/>
                <w:color w:val="494949"/>
                <w:sz w:val="28"/>
                <w:szCs w:val="20"/>
              </w:rPr>
            </w:pPr>
            <w:r w:rsidRPr="008C7596">
              <w:rPr>
                <w:rFonts w:ascii="Arial" w:hAnsi="Arial" w:cs="Arial"/>
                <w:b/>
                <w:bCs/>
                <w:color w:val="494949"/>
                <w:sz w:val="28"/>
                <w:szCs w:val="20"/>
              </w:rPr>
              <w:t xml:space="preserve">Banca Sella </w:t>
            </w:r>
          </w:p>
        </w:tc>
        <w:tc>
          <w:tcPr>
            <w:tcW w:w="833"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spacing w:line="210" w:lineRule="atLeast"/>
              <w:jc w:val="center"/>
              <w:rPr>
                <w:rFonts w:ascii="Arial" w:hAnsi="Arial" w:cs="Arial"/>
                <w:b/>
                <w:bCs/>
                <w:color w:val="494949"/>
                <w:sz w:val="28"/>
                <w:szCs w:val="20"/>
              </w:rPr>
            </w:pPr>
            <w:r w:rsidRPr="008C7596">
              <w:rPr>
                <w:rFonts w:ascii="Arial" w:hAnsi="Arial" w:cs="Arial"/>
                <w:b/>
                <w:bCs/>
                <w:color w:val="494949"/>
                <w:sz w:val="28"/>
                <w:szCs w:val="20"/>
              </w:rPr>
              <w:t>Banco Popolare</w:t>
            </w:r>
          </w:p>
          <w:p w:rsidR="008C7596" w:rsidRPr="008C7596" w:rsidRDefault="008C7596" w:rsidP="008C7596">
            <w:pPr>
              <w:spacing w:line="210" w:lineRule="atLeast"/>
              <w:jc w:val="center"/>
              <w:rPr>
                <w:rFonts w:ascii="Arial" w:hAnsi="Arial" w:cs="Arial"/>
                <w:b/>
                <w:bCs/>
                <w:color w:val="494949"/>
                <w:sz w:val="28"/>
                <w:szCs w:val="20"/>
              </w:rPr>
            </w:pPr>
          </w:p>
        </w:tc>
        <w:tc>
          <w:tcPr>
            <w:tcW w:w="833"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spacing w:line="210" w:lineRule="atLeast"/>
              <w:jc w:val="center"/>
              <w:rPr>
                <w:rFonts w:ascii="Arial" w:hAnsi="Arial" w:cs="Arial"/>
                <w:b/>
                <w:bCs/>
                <w:color w:val="494949"/>
                <w:sz w:val="28"/>
                <w:szCs w:val="20"/>
              </w:rPr>
            </w:pPr>
            <w:r w:rsidRPr="008C7596">
              <w:rPr>
                <w:rFonts w:ascii="Arial" w:hAnsi="Arial" w:cs="Arial"/>
                <w:b/>
                <w:bCs/>
                <w:color w:val="494949"/>
                <w:sz w:val="28"/>
                <w:szCs w:val="20"/>
              </w:rPr>
              <w:t xml:space="preserve">Banca Carige </w:t>
            </w:r>
          </w:p>
          <w:p w:rsidR="008C7596" w:rsidRPr="008C7596" w:rsidRDefault="008C7596" w:rsidP="008C7596">
            <w:pPr>
              <w:spacing w:line="210" w:lineRule="atLeast"/>
              <w:jc w:val="center"/>
              <w:rPr>
                <w:rFonts w:ascii="Arial" w:hAnsi="Arial" w:cs="Arial"/>
                <w:b/>
                <w:bCs/>
                <w:color w:val="494949"/>
                <w:sz w:val="28"/>
                <w:szCs w:val="20"/>
              </w:rPr>
            </w:pPr>
          </w:p>
        </w:tc>
        <w:tc>
          <w:tcPr>
            <w:tcW w:w="833"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spacing w:line="210" w:lineRule="atLeast"/>
              <w:jc w:val="center"/>
              <w:rPr>
                <w:rFonts w:ascii="Arial" w:hAnsi="Arial" w:cs="Arial"/>
                <w:b/>
                <w:bCs/>
                <w:color w:val="494949"/>
                <w:sz w:val="28"/>
                <w:szCs w:val="20"/>
              </w:rPr>
            </w:pPr>
            <w:r w:rsidRPr="008C7596">
              <w:rPr>
                <w:rFonts w:ascii="Arial" w:hAnsi="Arial" w:cs="Arial"/>
                <w:b/>
                <w:bCs/>
                <w:color w:val="494949"/>
                <w:sz w:val="28"/>
                <w:szCs w:val="20"/>
              </w:rPr>
              <w:t xml:space="preserve">Credem </w:t>
            </w:r>
          </w:p>
          <w:p w:rsidR="008C7596" w:rsidRPr="008C7596" w:rsidRDefault="008C7596" w:rsidP="008C7596">
            <w:pPr>
              <w:spacing w:line="210" w:lineRule="atLeast"/>
              <w:jc w:val="center"/>
              <w:rPr>
                <w:rFonts w:ascii="Arial" w:hAnsi="Arial" w:cs="Arial"/>
                <w:b/>
                <w:bCs/>
                <w:color w:val="494949"/>
                <w:sz w:val="28"/>
                <w:szCs w:val="20"/>
              </w:rPr>
            </w:pPr>
          </w:p>
        </w:tc>
      </w:tr>
      <w:tr w:rsidR="008C7596" w:rsidRPr="008C7596" w:rsidTr="008C7596">
        <w:tc>
          <w:tcPr>
            <w:tcW w:w="834"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rPr>
                <w:rFonts w:ascii="Arial" w:hAnsi="Arial" w:cs="Arial"/>
                <w:b/>
                <w:color w:val="494949"/>
                <w:sz w:val="18"/>
                <w:szCs w:val="18"/>
              </w:rPr>
            </w:pPr>
            <w:r w:rsidRPr="008C7596">
              <w:rPr>
                <w:rFonts w:ascii="Arial" w:hAnsi="Arial" w:cs="Arial"/>
                <w:b/>
                <w:bCs/>
                <w:color w:val="494949"/>
                <w:sz w:val="18"/>
                <w:szCs w:val="18"/>
              </w:rPr>
              <w:t>indicatore Sintetico di Costo</w:t>
            </w:r>
            <w:r w:rsidRPr="008C7596">
              <w:rPr>
                <w:rFonts w:ascii="Arial" w:hAnsi="Arial" w:cs="Arial"/>
                <w:b/>
                <w:color w:val="494949"/>
                <w:sz w:val="18"/>
                <w:szCs w:val="18"/>
              </w:rPr>
              <w:t xml:space="preserve"> per profilo a bassa </w:t>
            </w:r>
            <w:proofErr w:type="spellStart"/>
            <w:r w:rsidRPr="008C7596">
              <w:rPr>
                <w:rFonts w:ascii="Arial" w:hAnsi="Arial" w:cs="Arial"/>
                <w:b/>
                <w:color w:val="494949"/>
                <w:sz w:val="18"/>
                <w:szCs w:val="18"/>
              </w:rPr>
              <w:t>operativita'</w:t>
            </w:r>
            <w:proofErr w:type="spellEnd"/>
          </w:p>
        </w:tc>
        <w:tc>
          <w:tcPr>
            <w:tcW w:w="833" w:type="pct"/>
            <w:tcBorders>
              <w:top w:val="single" w:sz="4" w:space="0" w:color="auto"/>
              <w:left w:val="single" w:sz="4" w:space="0" w:color="auto"/>
              <w:bottom w:val="single" w:sz="4" w:space="0" w:color="auto"/>
              <w:right w:val="single" w:sz="4" w:space="0" w:color="auto"/>
            </w:tcBorders>
            <w:vAlign w:val="center"/>
            <w:hideMark/>
          </w:tcPr>
          <w:p w:rsidR="008C7596" w:rsidRPr="008C7596" w:rsidRDefault="008C7596" w:rsidP="008C7596">
            <w:pPr>
              <w:spacing w:line="210" w:lineRule="atLeast"/>
              <w:jc w:val="right"/>
              <w:rPr>
                <w:rFonts w:ascii="Arial" w:hAnsi="Arial" w:cs="Arial"/>
                <w:b/>
                <w:color w:val="494949"/>
                <w:sz w:val="18"/>
                <w:szCs w:val="18"/>
              </w:rPr>
            </w:pPr>
            <w:r w:rsidRPr="008C7596">
              <w:rPr>
                <w:rFonts w:ascii="Arial" w:hAnsi="Arial" w:cs="Arial"/>
                <w:b/>
                <w:color w:val="494949"/>
                <w:sz w:val="18"/>
                <w:szCs w:val="18"/>
              </w:rPr>
              <w:t>€ 438,70</w:t>
            </w:r>
          </w:p>
        </w:tc>
        <w:tc>
          <w:tcPr>
            <w:tcW w:w="833" w:type="pct"/>
            <w:tcBorders>
              <w:top w:val="single" w:sz="4" w:space="0" w:color="auto"/>
              <w:left w:val="single" w:sz="4" w:space="0" w:color="auto"/>
              <w:bottom w:val="single" w:sz="4" w:space="0" w:color="auto"/>
              <w:right w:val="single" w:sz="4" w:space="0" w:color="auto"/>
            </w:tcBorders>
            <w:vAlign w:val="center"/>
            <w:hideMark/>
          </w:tcPr>
          <w:p w:rsidR="008C7596" w:rsidRPr="008C7596" w:rsidRDefault="008C7596" w:rsidP="008C7596">
            <w:pPr>
              <w:spacing w:line="210" w:lineRule="atLeast"/>
              <w:jc w:val="right"/>
              <w:rPr>
                <w:rFonts w:ascii="Arial" w:hAnsi="Arial" w:cs="Arial"/>
                <w:b/>
                <w:color w:val="494949"/>
                <w:sz w:val="18"/>
                <w:szCs w:val="18"/>
              </w:rPr>
            </w:pPr>
            <w:r w:rsidRPr="008C7596">
              <w:rPr>
                <w:rFonts w:ascii="Arial" w:hAnsi="Arial" w:cs="Arial"/>
                <w:b/>
                <w:color w:val="494949"/>
                <w:sz w:val="18"/>
                <w:szCs w:val="18"/>
              </w:rPr>
              <w:t>€ 278,60</w:t>
            </w:r>
          </w:p>
        </w:tc>
        <w:tc>
          <w:tcPr>
            <w:tcW w:w="833" w:type="pct"/>
            <w:tcBorders>
              <w:top w:val="single" w:sz="4" w:space="0" w:color="auto"/>
              <w:left w:val="single" w:sz="4" w:space="0" w:color="auto"/>
              <w:bottom w:val="single" w:sz="4" w:space="0" w:color="auto"/>
              <w:right w:val="single" w:sz="4" w:space="0" w:color="auto"/>
            </w:tcBorders>
            <w:vAlign w:val="center"/>
            <w:hideMark/>
          </w:tcPr>
          <w:p w:rsidR="008C7596" w:rsidRPr="008C7596" w:rsidRDefault="008C7596" w:rsidP="008C7596">
            <w:pPr>
              <w:spacing w:line="210" w:lineRule="atLeast"/>
              <w:jc w:val="right"/>
              <w:rPr>
                <w:rFonts w:ascii="Arial" w:hAnsi="Arial" w:cs="Arial"/>
                <w:b/>
                <w:color w:val="494949"/>
                <w:sz w:val="18"/>
                <w:szCs w:val="18"/>
              </w:rPr>
            </w:pPr>
            <w:r w:rsidRPr="008C7596">
              <w:rPr>
                <w:rFonts w:ascii="Arial" w:hAnsi="Arial" w:cs="Arial"/>
                <w:b/>
                <w:color w:val="494949"/>
                <w:sz w:val="18"/>
                <w:szCs w:val="18"/>
              </w:rPr>
              <w:t>400,10 €</w:t>
            </w:r>
          </w:p>
        </w:tc>
        <w:tc>
          <w:tcPr>
            <w:tcW w:w="833" w:type="pct"/>
            <w:tcBorders>
              <w:top w:val="single" w:sz="4" w:space="0" w:color="auto"/>
              <w:left w:val="single" w:sz="4" w:space="0" w:color="auto"/>
              <w:bottom w:val="single" w:sz="4" w:space="0" w:color="auto"/>
              <w:right w:val="single" w:sz="4" w:space="0" w:color="auto"/>
            </w:tcBorders>
            <w:vAlign w:val="center"/>
            <w:hideMark/>
          </w:tcPr>
          <w:p w:rsidR="008C7596" w:rsidRPr="008C7596" w:rsidRDefault="008C7596" w:rsidP="008C7596">
            <w:pPr>
              <w:spacing w:line="210" w:lineRule="atLeast"/>
              <w:jc w:val="right"/>
              <w:rPr>
                <w:rFonts w:ascii="Arial" w:hAnsi="Arial" w:cs="Arial"/>
                <w:b/>
                <w:color w:val="494949"/>
                <w:sz w:val="18"/>
                <w:szCs w:val="18"/>
              </w:rPr>
            </w:pPr>
            <w:r w:rsidRPr="008C7596">
              <w:rPr>
                <w:rFonts w:ascii="Arial" w:hAnsi="Arial" w:cs="Arial"/>
                <w:b/>
                <w:color w:val="494949"/>
                <w:sz w:val="18"/>
                <w:szCs w:val="18"/>
              </w:rPr>
              <w:t>365.80</w:t>
            </w:r>
          </w:p>
        </w:tc>
        <w:tc>
          <w:tcPr>
            <w:tcW w:w="833" w:type="pct"/>
            <w:tcBorders>
              <w:top w:val="single" w:sz="4" w:space="0" w:color="auto"/>
              <w:left w:val="single" w:sz="4" w:space="0" w:color="auto"/>
              <w:bottom w:val="single" w:sz="4" w:space="0" w:color="auto"/>
              <w:right w:val="single" w:sz="4" w:space="0" w:color="auto"/>
            </w:tcBorders>
            <w:vAlign w:val="center"/>
            <w:hideMark/>
          </w:tcPr>
          <w:p w:rsidR="008C7596" w:rsidRPr="008C7596" w:rsidRDefault="008C7596" w:rsidP="008C7596">
            <w:pPr>
              <w:spacing w:line="210" w:lineRule="atLeast"/>
              <w:jc w:val="right"/>
              <w:rPr>
                <w:rFonts w:ascii="Arial" w:hAnsi="Arial" w:cs="Arial"/>
                <w:b/>
                <w:color w:val="494949"/>
                <w:sz w:val="18"/>
                <w:szCs w:val="18"/>
              </w:rPr>
            </w:pPr>
            <w:r w:rsidRPr="008C7596">
              <w:rPr>
                <w:rFonts w:ascii="Arial" w:hAnsi="Arial" w:cs="Arial"/>
                <w:b/>
                <w:color w:val="494949"/>
                <w:sz w:val="18"/>
                <w:szCs w:val="18"/>
              </w:rPr>
              <w:t>309,67</w:t>
            </w:r>
          </w:p>
        </w:tc>
      </w:tr>
      <w:tr w:rsidR="008C7596" w:rsidRPr="008C7596" w:rsidTr="008C7596">
        <w:tc>
          <w:tcPr>
            <w:tcW w:w="834"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rPr>
                <w:rFonts w:ascii="Arial" w:hAnsi="Arial" w:cs="Arial"/>
                <w:color w:val="494949"/>
                <w:sz w:val="18"/>
                <w:szCs w:val="18"/>
              </w:rPr>
            </w:pPr>
            <w:r w:rsidRPr="008C7596">
              <w:rPr>
                <w:rFonts w:ascii="Arial" w:hAnsi="Arial" w:cs="Arial"/>
                <w:color w:val="494949"/>
                <w:sz w:val="18"/>
                <w:szCs w:val="18"/>
              </w:rPr>
              <w:t>Spese di liquidazione</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131,00 € (s) A (32,75 € T)</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€ 16 T</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128,00 € A (32,00 € T)</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€ 76 A (€ 19 T)</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€ 17,64</w:t>
            </w:r>
          </w:p>
        </w:tc>
      </w:tr>
      <w:tr w:rsidR="008C7596" w:rsidRPr="008C7596" w:rsidTr="008C7596">
        <w:tc>
          <w:tcPr>
            <w:tcW w:w="834"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rPr>
                <w:rFonts w:ascii="Century Gothic" w:hAnsi="Century Gothic"/>
              </w:rPr>
            </w:pPr>
            <w:r w:rsidRPr="008C7596">
              <w:rPr>
                <w:rFonts w:ascii="Arial" w:hAnsi="Arial" w:cs="Arial"/>
                <w:i/>
                <w:iCs/>
                <w:color w:val="494949"/>
                <w:sz w:val="18"/>
                <w:szCs w:val="18"/>
                <w:shd w:val="clear" w:color="auto" w:fill="EDEDED"/>
              </w:rPr>
              <w:t xml:space="preserve">Gestione delle </w:t>
            </w:r>
            <w:proofErr w:type="spellStart"/>
            <w:r w:rsidRPr="008C7596">
              <w:rPr>
                <w:rFonts w:ascii="Arial" w:hAnsi="Arial" w:cs="Arial"/>
                <w:i/>
                <w:iCs/>
                <w:color w:val="494949"/>
                <w:sz w:val="18"/>
                <w:szCs w:val="18"/>
                <w:shd w:val="clear" w:color="auto" w:fill="EDEDED"/>
              </w:rPr>
              <w:t>liquidita'</w:t>
            </w:r>
            <w:proofErr w:type="spellEnd"/>
          </w:p>
        </w:tc>
        <w:tc>
          <w:tcPr>
            <w:tcW w:w="833"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c>
          <w:tcPr>
            <w:tcW w:w="833"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c>
          <w:tcPr>
            <w:tcW w:w="833"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c>
          <w:tcPr>
            <w:tcW w:w="833"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c>
          <w:tcPr>
            <w:tcW w:w="833"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r>
      <w:tr w:rsidR="008C7596" w:rsidRPr="008C7596" w:rsidTr="008C7596">
        <w:tc>
          <w:tcPr>
            <w:tcW w:w="834"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rPr>
                <w:rFonts w:ascii="Arial" w:hAnsi="Arial" w:cs="Arial"/>
                <w:color w:val="494949"/>
                <w:sz w:val="18"/>
                <w:szCs w:val="18"/>
              </w:rPr>
            </w:pPr>
            <w:r w:rsidRPr="008C7596">
              <w:rPr>
                <w:rFonts w:ascii="Arial" w:hAnsi="Arial" w:cs="Arial"/>
                <w:color w:val="494949"/>
                <w:sz w:val="18"/>
                <w:szCs w:val="18"/>
              </w:rPr>
              <w:t>allo sportello</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2,80€ (s)</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€ 1,84</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2,50 € (s)</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€ 2,50 (s)</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€ 2,37</w:t>
            </w:r>
          </w:p>
        </w:tc>
      </w:tr>
      <w:tr w:rsidR="008C7596" w:rsidRPr="008C7596" w:rsidTr="008C7596">
        <w:tc>
          <w:tcPr>
            <w:tcW w:w="834"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rPr>
                <w:rFonts w:ascii="Arial" w:hAnsi="Arial" w:cs="Arial"/>
                <w:color w:val="494949"/>
                <w:sz w:val="18"/>
                <w:szCs w:val="18"/>
              </w:rPr>
            </w:pPr>
            <w:r w:rsidRPr="008C7596">
              <w:rPr>
                <w:rFonts w:ascii="Arial" w:hAnsi="Arial" w:cs="Arial"/>
                <w:color w:val="494949"/>
                <w:sz w:val="18"/>
                <w:szCs w:val="18"/>
              </w:rPr>
              <w:t>tramite canale internet</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2,80€ (s)</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€ 1,84</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2,50 € (s)</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€ 0,00 (s)</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€ 2,37</w:t>
            </w:r>
          </w:p>
        </w:tc>
      </w:tr>
      <w:tr w:rsidR="008C7596" w:rsidRPr="008C7596" w:rsidTr="008C7596">
        <w:tc>
          <w:tcPr>
            <w:tcW w:w="834"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rPr>
                <w:rFonts w:ascii="Arial" w:hAnsi="Arial" w:cs="Arial"/>
                <w:color w:val="494949"/>
                <w:sz w:val="18"/>
                <w:szCs w:val="18"/>
              </w:rPr>
            </w:pPr>
            <w:r w:rsidRPr="008C7596">
              <w:rPr>
                <w:rFonts w:ascii="Arial" w:hAnsi="Arial" w:cs="Arial"/>
                <w:color w:val="494949"/>
                <w:sz w:val="18"/>
                <w:szCs w:val="18"/>
              </w:rPr>
              <w:t>tramite canale telefonico</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2,80€ (s)</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€ 1,84</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2,50 € (s)</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€ 0,00 (s)</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€ 2,37</w:t>
            </w:r>
          </w:p>
        </w:tc>
      </w:tr>
      <w:tr w:rsidR="008C7596" w:rsidRPr="008C7596" w:rsidTr="008C7596">
        <w:tc>
          <w:tcPr>
            <w:tcW w:w="834"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rPr>
                <w:rFonts w:ascii="Century Gothic" w:hAnsi="Century Gothic"/>
              </w:rPr>
            </w:pPr>
            <w:r w:rsidRPr="008C7596">
              <w:rPr>
                <w:rFonts w:ascii="Arial" w:hAnsi="Arial" w:cs="Arial"/>
                <w:i/>
                <w:iCs/>
                <w:color w:val="494949"/>
                <w:sz w:val="18"/>
                <w:szCs w:val="18"/>
                <w:shd w:val="clear" w:color="auto" w:fill="EDEDED"/>
              </w:rPr>
              <w:t>Commissione per prelievi Bancomat</w:t>
            </w:r>
          </w:p>
        </w:tc>
        <w:tc>
          <w:tcPr>
            <w:tcW w:w="833"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c>
          <w:tcPr>
            <w:tcW w:w="833"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c>
          <w:tcPr>
            <w:tcW w:w="833"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c>
          <w:tcPr>
            <w:tcW w:w="833"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c>
          <w:tcPr>
            <w:tcW w:w="833"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r>
      <w:tr w:rsidR="008C7596" w:rsidRPr="008C7596" w:rsidTr="008C7596">
        <w:tc>
          <w:tcPr>
            <w:tcW w:w="834"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rPr>
                <w:rFonts w:ascii="Arial" w:hAnsi="Arial" w:cs="Arial"/>
                <w:color w:val="494949"/>
                <w:sz w:val="18"/>
                <w:szCs w:val="18"/>
              </w:rPr>
            </w:pPr>
            <w:r w:rsidRPr="008C7596">
              <w:rPr>
                <w:rFonts w:ascii="Arial" w:hAnsi="Arial" w:cs="Arial"/>
                <w:color w:val="494949"/>
                <w:sz w:val="18"/>
                <w:szCs w:val="18"/>
              </w:rPr>
              <w:t>su sportelli altra banca</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2,20€ (s)</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€ 1,81 (s)</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2,10 € (s)</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€ 2,00 (s)</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1,90 € con carta con microchip</w:t>
            </w:r>
          </w:p>
        </w:tc>
      </w:tr>
      <w:tr w:rsidR="008C7596" w:rsidRPr="008C7596" w:rsidTr="008C7596">
        <w:tc>
          <w:tcPr>
            <w:tcW w:w="834"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rPr>
                <w:rFonts w:ascii="Arial" w:hAnsi="Arial" w:cs="Arial"/>
                <w:color w:val="494949"/>
                <w:sz w:val="18"/>
                <w:szCs w:val="18"/>
              </w:rPr>
            </w:pPr>
            <w:r w:rsidRPr="008C7596">
              <w:rPr>
                <w:rFonts w:ascii="Arial" w:hAnsi="Arial" w:cs="Arial"/>
                <w:color w:val="494949"/>
                <w:sz w:val="18"/>
                <w:szCs w:val="18"/>
              </w:rPr>
              <w:t>Bonifici ordinari Italia disposti allo sportello con addebito in c/c</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3,50 € (s) c/o filiali della Banca; 5,00 € (s) c/o altre Banche</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€ 3,50 (s)</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3,50 € verso filiali della Banca (s) - 4,50 € verso altre Banche (s)</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xml:space="preserve">€ 3,75 (s) se a </w:t>
            </w:r>
            <w:proofErr w:type="spellStart"/>
            <w:r w:rsidRPr="008C7596">
              <w:rPr>
                <w:rFonts w:ascii="Arial" w:hAnsi="Arial" w:cs="Arial"/>
                <w:color w:val="494949"/>
                <w:sz w:val="18"/>
                <w:szCs w:val="18"/>
              </w:rPr>
              <w:t>fav</w:t>
            </w:r>
            <w:proofErr w:type="spellEnd"/>
            <w:r w:rsidRPr="008C7596">
              <w:rPr>
                <w:rFonts w:ascii="Arial" w:hAnsi="Arial" w:cs="Arial"/>
                <w:color w:val="494949"/>
                <w:sz w:val="18"/>
                <w:szCs w:val="18"/>
              </w:rPr>
              <w:t xml:space="preserve">. di </w:t>
            </w:r>
            <w:proofErr w:type="spellStart"/>
            <w:r w:rsidRPr="008C7596">
              <w:rPr>
                <w:rFonts w:ascii="Arial" w:hAnsi="Arial" w:cs="Arial"/>
                <w:color w:val="494949"/>
                <w:sz w:val="18"/>
                <w:szCs w:val="18"/>
              </w:rPr>
              <w:t>dip</w:t>
            </w:r>
            <w:proofErr w:type="spellEnd"/>
            <w:r w:rsidRPr="008C7596">
              <w:rPr>
                <w:rFonts w:ascii="Arial" w:hAnsi="Arial" w:cs="Arial"/>
                <w:color w:val="494949"/>
                <w:sz w:val="18"/>
                <w:szCs w:val="18"/>
              </w:rPr>
              <w:t xml:space="preserve">. della Banca; € 4,75 (s) se a </w:t>
            </w:r>
            <w:proofErr w:type="spellStart"/>
            <w:r w:rsidRPr="008C7596">
              <w:rPr>
                <w:rFonts w:ascii="Arial" w:hAnsi="Arial" w:cs="Arial"/>
                <w:color w:val="494949"/>
                <w:sz w:val="18"/>
                <w:szCs w:val="18"/>
              </w:rPr>
              <w:t>fav</w:t>
            </w:r>
            <w:proofErr w:type="spellEnd"/>
            <w:r w:rsidRPr="008C7596">
              <w:rPr>
                <w:rFonts w:ascii="Arial" w:hAnsi="Arial" w:cs="Arial"/>
                <w:color w:val="494949"/>
                <w:sz w:val="18"/>
                <w:szCs w:val="18"/>
              </w:rPr>
              <w:t>. di altra banca</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€ 4,74 verso altri Istituti; 2,37 € verso Credem</w:t>
            </w:r>
          </w:p>
        </w:tc>
      </w:tr>
      <w:tr w:rsidR="008C7596" w:rsidRPr="008C7596" w:rsidTr="008C7596">
        <w:tc>
          <w:tcPr>
            <w:tcW w:w="834"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rPr>
                <w:rFonts w:ascii="Arial" w:hAnsi="Arial" w:cs="Arial"/>
                <w:color w:val="494949"/>
                <w:sz w:val="18"/>
                <w:szCs w:val="18"/>
              </w:rPr>
            </w:pPr>
            <w:r w:rsidRPr="008C7596">
              <w:rPr>
                <w:rFonts w:ascii="Arial" w:hAnsi="Arial" w:cs="Arial"/>
                <w:color w:val="494949"/>
                <w:sz w:val="18"/>
                <w:szCs w:val="18"/>
              </w:rPr>
              <w:t>Pagamento con domiciliazione</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0,65 € (s)</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€ 0,70 (s)</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1,00 € (s)</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€ 0,30 (s)</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1,25 € ogni addebito</w:t>
            </w:r>
          </w:p>
        </w:tc>
      </w:tr>
      <w:tr w:rsidR="008C7596" w:rsidRPr="008C7596" w:rsidTr="008C7596">
        <w:tc>
          <w:tcPr>
            <w:tcW w:w="834"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rPr>
                <w:rFonts w:ascii="Arial" w:hAnsi="Arial" w:cs="Arial"/>
                <w:b/>
                <w:bCs/>
                <w:color w:val="494949"/>
                <w:sz w:val="18"/>
                <w:szCs w:val="18"/>
              </w:rPr>
            </w:pPr>
            <w:r w:rsidRPr="008C7596">
              <w:rPr>
                <w:rFonts w:ascii="Arial" w:hAnsi="Arial" w:cs="Arial"/>
                <w:b/>
                <w:bCs/>
                <w:color w:val="494949"/>
                <w:sz w:val="18"/>
                <w:szCs w:val="18"/>
              </w:rPr>
              <w:t>Interessi somme depositate</w:t>
            </w:r>
          </w:p>
        </w:tc>
        <w:tc>
          <w:tcPr>
            <w:tcW w:w="833"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spacing w:line="210" w:lineRule="atLeast"/>
              <w:jc w:val="right"/>
              <w:rPr>
                <w:rFonts w:ascii="Arial" w:hAnsi="Arial" w:cs="Arial"/>
                <w:b/>
                <w:bCs/>
                <w:color w:val="494949"/>
                <w:sz w:val="18"/>
                <w:szCs w:val="18"/>
              </w:rPr>
            </w:pPr>
          </w:p>
        </w:tc>
        <w:tc>
          <w:tcPr>
            <w:tcW w:w="833"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spacing w:line="210" w:lineRule="atLeast"/>
              <w:jc w:val="right"/>
              <w:rPr>
                <w:rFonts w:ascii="Arial" w:hAnsi="Arial" w:cs="Arial"/>
                <w:b/>
                <w:bCs/>
                <w:color w:val="494949"/>
                <w:sz w:val="18"/>
                <w:szCs w:val="18"/>
              </w:rPr>
            </w:pPr>
          </w:p>
        </w:tc>
        <w:tc>
          <w:tcPr>
            <w:tcW w:w="833"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spacing w:line="210" w:lineRule="atLeast"/>
              <w:jc w:val="right"/>
              <w:rPr>
                <w:rFonts w:ascii="Arial" w:hAnsi="Arial" w:cs="Arial"/>
                <w:b/>
                <w:bCs/>
                <w:color w:val="494949"/>
                <w:sz w:val="18"/>
                <w:szCs w:val="18"/>
              </w:rPr>
            </w:pPr>
          </w:p>
        </w:tc>
        <w:tc>
          <w:tcPr>
            <w:tcW w:w="833"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spacing w:line="210" w:lineRule="atLeast"/>
              <w:jc w:val="right"/>
              <w:rPr>
                <w:rFonts w:ascii="Arial" w:hAnsi="Arial" w:cs="Arial"/>
                <w:b/>
                <w:bCs/>
                <w:color w:val="494949"/>
                <w:sz w:val="18"/>
                <w:szCs w:val="18"/>
              </w:rPr>
            </w:pPr>
          </w:p>
        </w:tc>
        <w:tc>
          <w:tcPr>
            <w:tcW w:w="833"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spacing w:line="210" w:lineRule="atLeast"/>
              <w:jc w:val="right"/>
              <w:rPr>
                <w:rFonts w:ascii="Arial" w:hAnsi="Arial" w:cs="Arial"/>
                <w:b/>
                <w:bCs/>
                <w:color w:val="494949"/>
                <w:sz w:val="18"/>
                <w:szCs w:val="18"/>
              </w:rPr>
            </w:pPr>
          </w:p>
        </w:tc>
      </w:tr>
      <w:tr w:rsidR="008C7596" w:rsidRPr="008C7596" w:rsidTr="008C7596">
        <w:tc>
          <w:tcPr>
            <w:tcW w:w="834"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rPr>
                <w:rFonts w:ascii="Arial" w:hAnsi="Arial" w:cs="Arial"/>
                <w:color w:val="494949"/>
                <w:sz w:val="18"/>
                <w:szCs w:val="18"/>
              </w:rPr>
            </w:pPr>
            <w:r w:rsidRPr="008C7596">
              <w:rPr>
                <w:rFonts w:ascii="Arial" w:hAnsi="Arial" w:cs="Arial"/>
                <w:color w:val="494949"/>
                <w:sz w:val="18"/>
                <w:szCs w:val="18"/>
              </w:rPr>
              <w:t>Tasso creditore annuo nominale</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0,010% A (accredito T)</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0,00% A (accredito T)</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0,010 % A (accredito T)</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da 0,01% A (accredito T) - contrattazione individuale</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0,01%</w:t>
            </w:r>
          </w:p>
        </w:tc>
      </w:tr>
      <w:tr w:rsidR="008C7596" w:rsidRPr="008C7596" w:rsidTr="008C7596">
        <w:tc>
          <w:tcPr>
            <w:tcW w:w="834"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rPr>
                <w:rFonts w:ascii="Century Gothic" w:hAnsi="Century Gothic"/>
              </w:rPr>
            </w:pPr>
            <w:r w:rsidRPr="008C7596">
              <w:rPr>
                <w:rFonts w:ascii="Arial" w:hAnsi="Arial" w:cs="Arial"/>
                <w:i/>
                <w:iCs/>
                <w:color w:val="494949"/>
                <w:sz w:val="18"/>
                <w:szCs w:val="18"/>
                <w:shd w:val="clear" w:color="auto" w:fill="EDEDED"/>
              </w:rPr>
              <w:t>Fidi</w:t>
            </w:r>
          </w:p>
        </w:tc>
        <w:tc>
          <w:tcPr>
            <w:tcW w:w="833"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c>
          <w:tcPr>
            <w:tcW w:w="833"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c>
          <w:tcPr>
            <w:tcW w:w="833"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c>
          <w:tcPr>
            <w:tcW w:w="833"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c>
          <w:tcPr>
            <w:tcW w:w="833"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r>
      <w:tr w:rsidR="008C7596" w:rsidRPr="008C7596" w:rsidTr="008C7596">
        <w:tc>
          <w:tcPr>
            <w:tcW w:w="834"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rPr>
                <w:rFonts w:ascii="Arial" w:hAnsi="Arial" w:cs="Arial"/>
                <w:color w:val="494949"/>
                <w:sz w:val="18"/>
                <w:szCs w:val="18"/>
              </w:rPr>
            </w:pPr>
            <w:r w:rsidRPr="008C7596">
              <w:rPr>
                <w:rFonts w:ascii="Arial" w:hAnsi="Arial" w:cs="Arial"/>
                <w:color w:val="494949"/>
                <w:sz w:val="18"/>
                <w:szCs w:val="18"/>
              </w:rPr>
              <w:t>Tasso debitore annuo nominale sulle somme utilizzate</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15,250% A (addebito T)</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13,75 % A (addebito T)</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massimo 15,00% A (addebito T) (s)</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15,50% A (liquidazione T)</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13,75%</w:t>
            </w:r>
          </w:p>
        </w:tc>
      </w:tr>
      <w:tr w:rsidR="008C7596" w:rsidRPr="008C7596" w:rsidTr="008C7596">
        <w:tc>
          <w:tcPr>
            <w:tcW w:w="834"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rPr>
                <w:rFonts w:ascii="Arial" w:hAnsi="Arial" w:cs="Arial"/>
                <w:color w:val="494949"/>
                <w:sz w:val="18"/>
                <w:szCs w:val="18"/>
              </w:rPr>
            </w:pPr>
            <w:r w:rsidRPr="008C7596">
              <w:rPr>
                <w:rFonts w:ascii="Arial" w:hAnsi="Arial" w:cs="Arial"/>
                <w:color w:val="494949"/>
                <w:sz w:val="18"/>
                <w:szCs w:val="18"/>
              </w:rPr>
              <w:t>commissione onnicomprensiva</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2,00% A (0,50% T)</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Commissione di messa a disposizione delle somme, calcolata in misura proporzionale sull’ammontare dell’affidamento concesso tempo per tempo e sulla sua durata: 0,5%</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Corrispettivo per Disponibilità Creditizia: massimo 2,00% A (addebito T) (s)</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0,50% (T) Commissione per la messa a disposizione fondi. Calcolo trimestrale in proporzione all'ammontare e alla durata del fido tempo per tempo concesso</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€ 0</w:t>
            </w:r>
          </w:p>
        </w:tc>
      </w:tr>
      <w:tr w:rsidR="008C7596" w:rsidRPr="008C7596" w:rsidTr="008C7596">
        <w:tc>
          <w:tcPr>
            <w:tcW w:w="834"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rPr>
                <w:rFonts w:ascii="Century Gothic" w:hAnsi="Century Gothic"/>
              </w:rPr>
            </w:pPr>
            <w:r w:rsidRPr="008C7596">
              <w:rPr>
                <w:rFonts w:ascii="Arial" w:hAnsi="Arial" w:cs="Arial"/>
                <w:i/>
                <w:iCs/>
                <w:color w:val="494949"/>
                <w:sz w:val="18"/>
                <w:szCs w:val="18"/>
                <w:shd w:val="clear" w:color="auto" w:fill="EDEDED"/>
              </w:rPr>
              <w:t>Sconfinamenti extra-fido</w:t>
            </w:r>
          </w:p>
        </w:tc>
        <w:tc>
          <w:tcPr>
            <w:tcW w:w="833"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c>
          <w:tcPr>
            <w:tcW w:w="833"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c>
          <w:tcPr>
            <w:tcW w:w="833"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c>
          <w:tcPr>
            <w:tcW w:w="833"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c>
          <w:tcPr>
            <w:tcW w:w="833"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r>
      <w:tr w:rsidR="008C7596" w:rsidRPr="008C7596" w:rsidTr="008C7596">
        <w:tc>
          <w:tcPr>
            <w:tcW w:w="834"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rPr>
                <w:rFonts w:ascii="Arial" w:hAnsi="Arial" w:cs="Arial"/>
                <w:color w:val="494949"/>
                <w:sz w:val="18"/>
                <w:szCs w:val="18"/>
              </w:rPr>
            </w:pPr>
            <w:r w:rsidRPr="008C7596">
              <w:rPr>
                <w:rFonts w:ascii="Arial" w:hAnsi="Arial" w:cs="Arial"/>
                <w:color w:val="494949"/>
                <w:sz w:val="18"/>
                <w:szCs w:val="18"/>
              </w:rPr>
              <w:t>Tasso debitore annuo nominale sulle somme utilizzate</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15,500% A (addebito T)</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16,25 % A (addebito T)</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su affidamenti fino a 5.000,00 € 16,00% A (addebito T) (s) - su affidamenti oltre 5.000,00 € 15,00% A (addebito T) (s)</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15,50% A (liquidazione T)</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14,15%</w:t>
            </w:r>
          </w:p>
        </w:tc>
      </w:tr>
      <w:tr w:rsidR="008C7596" w:rsidRPr="008C7596" w:rsidTr="008C7596">
        <w:tc>
          <w:tcPr>
            <w:tcW w:w="834"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rPr>
                <w:rFonts w:ascii="Arial" w:hAnsi="Arial" w:cs="Arial"/>
                <w:color w:val="494949"/>
                <w:sz w:val="18"/>
                <w:szCs w:val="18"/>
              </w:rPr>
            </w:pPr>
            <w:r w:rsidRPr="008C7596">
              <w:rPr>
                <w:rFonts w:ascii="Arial" w:hAnsi="Arial" w:cs="Arial"/>
                <w:color w:val="494949"/>
                <w:sz w:val="18"/>
                <w:szCs w:val="18"/>
              </w:rPr>
              <w:t>commissione di istruttoria veloce</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xml:space="preserve">€ 0,00 per sconfini fino a € 100,00; € 35,00 per sconfini superiori a € 100,00 e per ogni ulteriori € 100,00 di accrescimento dello sconfino, con un massimo di € 200,00. Non è dovuta per sconfini fino a € 500,00 di durata non superiore ai 7 </w:t>
            </w:r>
            <w:proofErr w:type="spellStart"/>
            <w:r w:rsidRPr="008C7596">
              <w:rPr>
                <w:rFonts w:ascii="Arial" w:hAnsi="Arial" w:cs="Arial"/>
                <w:color w:val="494949"/>
                <w:sz w:val="18"/>
                <w:szCs w:val="18"/>
              </w:rPr>
              <w:t>gioorni</w:t>
            </w:r>
            <w:proofErr w:type="spellEnd"/>
            <w:r w:rsidRPr="008C7596">
              <w:rPr>
                <w:rFonts w:ascii="Arial" w:hAnsi="Arial" w:cs="Arial"/>
                <w:color w:val="494949"/>
                <w:sz w:val="18"/>
                <w:szCs w:val="18"/>
              </w:rPr>
              <w:t xml:space="preserve"> consecutivi di calendario e per un massimo di una volta per ciascun trimestre</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xml:space="preserve">Recupero spese gestione sconfino: giornaliero </w:t>
            </w:r>
            <w:proofErr w:type="spellStart"/>
            <w:r w:rsidRPr="008C7596">
              <w:rPr>
                <w:rFonts w:ascii="Arial" w:hAnsi="Arial" w:cs="Arial"/>
                <w:color w:val="494949"/>
                <w:sz w:val="18"/>
                <w:szCs w:val="18"/>
              </w:rPr>
              <w:t>max</w:t>
            </w:r>
            <w:proofErr w:type="spellEnd"/>
            <w:r w:rsidRPr="008C7596">
              <w:rPr>
                <w:rFonts w:ascii="Arial" w:hAnsi="Arial" w:cs="Arial"/>
                <w:color w:val="494949"/>
                <w:sz w:val="18"/>
                <w:szCs w:val="18"/>
              </w:rPr>
              <w:t xml:space="preserve"> € 17,50; giornaliero per carte di pagamento. </w:t>
            </w:r>
            <w:proofErr w:type="spellStart"/>
            <w:r w:rsidRPr="008C7596">
              <w:rPr>
                <w:rFonts w:ascii="Arial" w:hAnsi="Arial" w:cs="Arial"/>
                <w:color w:val="494949"/>
                <w:sz w:val="18"/>
                <w:szCs w:val="18"/>
              </w:rPr>
              <w:t>max</w:t>
            </w:r>
            <w:proofErr w:type="spellEnd"/>
            <w:r w:rsidRPr="008C7596">
              <w:rPr>
                <w:rFonts w:ascii="Arial" w:hAnsi="Arial" w:cs="Arial"/>
                <w:color w:val="494949"/>
                <w:sz w:val="18"/>
                <w:szCs w:val="18"/>
              </w:rPr>
              <w:t xml:space="preserve"> 10,50€, trimestrale </w:t>
            </w:r>
            <w:proofErr w:type="spellStart"/>
            <w:r w:rsidRPr="008C7596">
              <w:rPr>
                <w:rFonts w:ascii="Arial" w:hAnsi="Arial" w:cs="Arial"/>
                <w:color w:val="494949"/>
                <w:sz w:val="18"/>
                <w:szCs w:val="18"/>
              </w:rPr>
              <w:t>max</w:t>
            </w:r>
            <w:proofErr w:type="spellEnd"/>
            <w:r w:rsidRPr="008C7596">
              <w:rPr>
                <w:rFonts w:ascii="Arial" w:hAnsi="Arial" w:cs="Arial"/>
                <w:color w:val="494949"/>
                <w:sz w:val="18"/>
                <w:szCs w:val="18"/>
              </w:rPr>
              <w:t xml:space="preserve"> € 200. Non è dovuta per sconfinamenti fino a 500 euro, di durata non superiore a 7 giorni consecutivi di calendario e solo per uno sconfinamento a trimestre solare</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Commissione di istruttoria veloce: € 30 per scoperti o sconfinamenti oltre 100 € applicata ad ogni variazione peggiorativa del saldo di fine giornata pari o superiore a 25 € (massimo 60 € al trimestre). La CIV non è dovuta in caso di esclusioni previste dalla legge (s)</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025FCD">
            <w:pPr>
              <w:spacing w:line="210" w:lineRule="atLeast"/>
              <w:jc w:val="right"/>
              <w:rPr>
                <w:rFonts w:ascii="Arial" w:hAnsi="Arial" w:cs="Arial"/>
                <w:color w:val="494949"/>
                <w:sz w:val="18"/>
                <w:szCs w:val="18"/>
              </w:rPr>
            </w:pPr>
            <w:r w:rsidRPr="008C7596">
              <w:rPr>
                <w:rFonts w:ascii="Arial" w:hAnsi="Arial" w:cs="Arial"/>
                <w:color w:val="494949"/>
                <w:sz w:val="18"/>
                <w:szCs w:val="18"/>
              </w:rPr>
              <w:t xml:space="preserve">Commissione istruttoria veloce: </w:t>
            </w:r>
            <w:r w:rsidRPr="008C7596">
              <w:rPr>
                <w:rFonts w:ascii="Arial" w:hAnsi="Arial" w:cs="Arial"/>
                <w:color w:val="494949"/>
                <w:sz w:val="16"/>
                <w:szCs w:val="16"/>
              </w:rPr>
              <w:t>75€ per sconfinamento. Per sconfinamento si intende il verificarsi di un utilizzo oltre il massimale affidato nelle misure: fido con accordato fino a € 5.000: utilizzi oltre il massimale per un importo superiore a € 100,00 ovvero – nel caso di conto già sconfinato – aumento dello stesso per un importo pari o superiore a € 50,00; fido con accordato maggiore di € 5.000 e fino a € 25.000: utilizzi oltre il massimale per un importo superiore a € 500,00 ovvero – nel caso di conto già sconfinato – aumento dello stesso per un importo pari o superiore a € 250,00; fido con accordato maggiore di € 25.000</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xml:space="preserve">€ 35 per ogni </w:t>
            </w:r>
            <w:proofErr w:type="spellStart"/>
            <w:r w:rsidRPr="008C7596">
              <w:rPr>
                <w:rFonts w:ascii="Arial" w:hAnsi="Arial" w:cs="Arial"/>
                <w:color w:val="494949"/>
                <w:sz w:val="18"/>
                <w:szCs w:val="18"/>
              </w:rPr>
              <w:t>sconfimento</w:t>
            </w:r>
            <w:proofErr w:type="spellEnd"/>
            <w:r w:rsidRPr="008C7596">
              <w:rPr>
                <w:rFonts w:ascii="Arial" w:hAnsi="Arial" w:cs="Arial"/>
                <w:color w:val="494949"/>
                <w:sz w:val="18"/>
                <w:szCs w:val="18"/>
              </w:rPr>
              <w:t xml:space="preserve"> o incremento di sconfinamento con franchigia di 100 euro</w:t>
            </w:r>
          </w:p>
        </w:tc>
      </w:tr>
      <w:tr w:rsidR="008C7596" w:rsidRPr="008C7596" w:rsidTr="008C7596">
        <w:tc>
          <w:tcPr>
            <w:tcW w:w="834"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rPr>
                <w:rFonts w:ascii="Century Gothic" w:hAnsi="Century Gothic"/>
              </w:rPr>
            </w:pPr>
            <w:r w:rsidRPr="008C7596">
              <w:rPr>
                <w:rFonts w:ascii="Arial" w:hAnsi="Arial" w:cs="Arial"/>
                <w:i/>
                <w:iCs/>
                <w:color w:val="494949"/>
                <w:sz w:val="18"/>
                <w:szCs w:val="18"/>
                <w:shd w:val="clear" w:color="auto" w:fill="EDEDED"/>
              </w:rPr>
              <w:t>Sconfinamenti in assenza di fido</w:t>
            </w:r>
          </w:p>
        </w:tc>
        <w:tc>
          <w:tcPr>
            <w:tcW w:w="833"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c>
          <w:tcPr>
            <w:tcW w:w="833"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c>
          <w:tcPr>
            <w:tcW w:w="833"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c>
          <w:tcPr>
            <w:tcW w:w="833"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c>
          <w:tcPr>
            <w:tcW w:w="833" w:type="pct"/>
            <w:tcBorders>
              <w:top w:val="single" w:sz="4" w:space="0" w:color="auto"/>
              <w:left w:val="single" w:sz="4" w:space="0" w:color="auto"/>
              <w:bottom w:val="single" w:sz="4" w:space="0" w:color="auto"/>
              <w:right w:val="single" w:sz="4" w:space="0" w:color="auto"/>
            </w:tcBorders>
          </w:tcPr>
          <w:p w:rsidR="008C7596" w:rsidRPr="008C7596" w:rsidRDefault="008C7596" w:rsidP="008C7596">
            <w:pPr>
              <w:jc w:val="right"/>
              <w:rPr>
                <w:rFonts w:ascii="Century Gothic" w:hAnsi="Century Gothic"/>
              </w:rPr>
            </w:pPr>
          </w:p>
        </w:tc>
      </w:tr>
      <w:tr w:rsidR="008C7596" w:rsidRPr="008C7596" w:rsidTr="008C7596">
        <w:tc>
          <w:tcPr>
            <w:tcW w:w="834"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rPr>
                <w:rFonts w:ascii="Arial" w:hAnsi="Arial" w:cs="Arial"/>
                <w:color w:val="494949"/>
                <w:sz w:val="18"/>
                <w:szCs w:val="18"/>
              </w:rPr>
            </w:pPr>
            <w:r w:rsidRPr="008C7596">
              <w:rPr>
                <w:rFonts w:ascii="Arial" w:hAnsi="Arial" w:cs="Arial"/>
                <w:color w:val="494949"/>
                <w:sz w:val="18"/>
                <w:szCs w:val="18"/>
              </w:rPr>
              <w:t>Tasso debitore annuo nominale sulle somme utilizzate</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15,500% A (addebito T)</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16,25% A (addebito T)</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20,00% A (s)</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18,50% A (liquidazione T)</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14,15%</w:t>
            </w:r>
          </w:p>
        </w:tc>
      </w:tr>
      <w:tr w:rsidR="008C7596" w:rsidRPr="008C7596" w:rsidTr="008C7596">
        <w:tc>
          <w:tcPr>
            <w:tcW w:w="834"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rPr>
                <w:rFonts w:ascii="Arial" w:hAnsi="Arial" w:cs="Arial"/>
                <w:color w:val="494949"/>
                <w:sz w:val="18"/>
                <w:szCs w:val="18"/>
              </w:rPr>
            </w:pPr>
            <w:r w:rsidRPr="008C7596">
              <w:rPr>
                <w:rFonts w:ascii="Arial" w:hAnsi="Arial" w:cs="Arial"/>
                <w:color w:val="494949"/>
                <w:sz w:val="18"/>
                <w:szCs w:val="18"/>
              </w:rPr>
              <w:t>commissione di istruttoria veloce</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€ 0,00 per sconfini fino a € 100,00; € 35,00 per sconfini superiori a € 100,00 e per ogni ulteriori € 100,00 di accrescimento dello sconfino, con un massimo di € 200,00. Non è dovuta per sconfini fino a € 500,00 di durata non superiore ai 7 giorni consecutivi di calendario e per un massimo di una volta per ciascun trimestre</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xml:space="preserve">Recupero spese gestione sconfino: giornaliero </w:t>
            </w:r>
            <w:proofErr w:type="spellStart"/>
            <w:r w:rsidRPr="008C7596">
              <w:rPr>
                <w:rFonts w:ascii="Arial" w:hAnsi="Arial" w:cs="Arial"/>
                <w:color w:val="494949"/>
                <w:sz w:val="18"/>
                <w:szCs w:val="18"/>
              </w:rPr>
              <w:t>max</w:t>
            </w:r>
            <w:proofErr w:type="spellEnd"/>
            <w:r w:rsidRPr="008C7596">
              <w:rPr>
                <w:rFonts w:ascii="Arial" w:hAnsi="Arial" w:cs="Arial"/>
                <w:color w:val="494949"/>
                <w:sz w:val="18"/>
                <w:szCs w:val="18"/>
              </w:rPr>
              <w:t xml:space="preserve"> € 17,50; giornaliero per carte di pagamento. </w:t>
            </w:r>
            <w:proofErr w:type="spellStart"/>
            <w:r w:rsidRPr="008C7596">
              <w:rPr>
                <w:rFonts w:ascii="Arial" w:hAnsi="Arial" w:cs="Arial"/>
                <w:color w:val="494949"/>
                <w:sz w:val="18"/>
                <w:szCs w:val="18"/>
              </w:rPr>
              <w:t>max</w:t>
            </w:r>
            <w:proofErr w:type="spellEnd"/>
            <w:r w:rsidRPr="008C7596">
              <w:rPr>
                <w:rFonts w:ascii="Arial" w:hAnsi="Arial" w:cs="Arial"/>
                <w:color w:val="494949"/>
                <w:sz w:val="18"/>
                <w:szCs w:val="18"/>
              </w:rPr>
              <w:t xml:space="preserve"> 10,50€, trimestrale </w:t>
            </w:r>
            <w:proofErr w:type="spellStart"/>
            <w:r w:rsidRPr="008C7596">
              <w:rPr>
                <w:rFonts w:ascii="Arial" w:hAnsi="Arial" w:cs="Arial"/>
                <w:color w:val="494949"/>
                <w:sz w:val="18"/>
                <w:szCs w:val="18"/>
              </w:rPr>
              <w:t>max</w:t>
            </w:r>
            <w:proofErr w:type="spellEnd"/>
            <w:r w:rsidRPr="008C7596">
              <w:rPr>
                <w:rFonts w:ascii="Arial" w:hAnsi="Arial" w:cs="Arial"/>
                <w:color w:val="494949"/>
                <w:sz w:val="18"/>
                <w:szCs w:val="18"/>
              </w:rPr>
              <w:t xml:space="preserve"> € 200. Non è dovuta per sconfinamenti fino a 500 euro, di durata non superiore a 7 giorni consecutivi di calendario e solo per uno sconfinamento a trimestre solare</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Commissione di istruttoria veloce: € 30 per scoperti o sconfinamenti oltre 100 € applicata ad ogni variazione peggiorativa del saldo di fine giornata pari o superiore a 25 € (massimo 60 € al trimestre). La CIV non è dovuta in caso di esclusioni previste dalla legge (s)</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Commissione istruttoria veloce: 50€ per sconfinamento superiore a € 100,00. Per sconfinamento si intende il verificarsi di uno scoperto di conto di importo superiore ad € 100,00 ovvero – nel caso di conto già sconfinato – aumento dello scoperto per un importo pari o superiore ad € 50,00</w:t>
            </w:r>
          </w:p>
        </w:tc>
        <w:tc>
          <w:tcPr>
            <w:tcW w:w="833" w:type="pct"/>
            <w:tcBorders>
              <w:top w:val="single" w:sz="4" w:space="0" w:color="auto"/>
              <w:left w:val="single" w:sz="4" w:space="0" w:color="auto"/>
              <w:bottom w:val="single" w:sz="4" w:space="0" w:color="auto"/>
              <w:right w:val="single" w:sz="4" w:space="0" w:color="auto"/>
            </w:tcBorders>
            <w:hideMark/>
          </w:tcPr>
          <w:p w:rsidR="008C7596" w:rsidRPr="008C7596" w:rsidRDefault="008C7596" w:rsidP="008C7596">
            <w:pPr>
              <w:spacing w:line="210" w:lineRule="atLeast"/>
              <w:jc w:val="right"/>
              <w:rPr>
                <w:rFonts w:ascii="Arial" w:hAnsi="Arial" w:cs="Arial"/>
                <w:color w:val="494949"/>
                <w:sz w:val="18"/>
                <w:szCs w:val="18"/>
              </w:rPr>
            </w:pPr>
            <w:r w:rsidRPr="008C7596">
              <w:rPr>
                <w:rFonts w:ascii="Arial" w:hAnsi="Arial" w:cs="Arial"/>
                <w:color w:val="494949"/>
                <w:sz w:val="18"/>
                <w:szCs w:val="18"/>
              </w:rPr>
              <w:t xml:space="preserve">€ 35 per ogni </w:t>
            </w:r>
            <w:proofErr w:type="spellStart"/>
            <w:r w:rsidRPr="008C7596">
              <w:rPr>
                <w:rFonts w:ascii="Arial" w:hAnsi="Arial" w:cs="Arial"/>
                <w:color w:val="494949"/>
                <w:sz w:val="18"/>
                <w:szCs w:val="18"/>
              </w:rPr>
              <w:t>sconfimento</w:t>
            </w:r>
            <w:proofErr w:type="spellEnd"/>
            <w:r w:rsidRPr="008C7596">
              <w:rPr>
                <w:rFonts w:ascii="Arial" w:hAnsi="Arial" w:cs="Arial"/>
                <w:color w:val="494949"/>
                <w:sz w:val="18"/>
                <w:szCs w:val="18"/>
              </w:rPr>
              <w:t xml:space="preserve"> o incremento di sconfinamento con franchigia di 100 euro</w:t>
            </w:r>
          </w:p>
        </w:tc>
      </w:tr>
    </w:tbl>
    <w:p w:rsidR="008C7596" w:rsidRPr="008C7596" w:rsidRDefault="008C7596" w:rsidP="008C7596">
      <w:pPr>
        <w:rPr>
          <w:rFonts w:ascii="Century Gothic" w:eastAsia="Calibri" w:hAnsi="Century Gothic" w:cs="Times New Roman"/>
        </w:rPr>
      </w:pPr>
    </w:p>
    <w:p w:rsidR="008C7596" w:rsidRDefault="008C7596" w:rsidP="001753F9">
      <w:pPr>
        <w:pStyle w:val="Nessunaspaziatura"/>
        <w:jc w:val="both"/>
        <w:rPr>
          <w:sz w:val="24"/>
          <w:szCs w:val="24"/>
        </w:rPr>
      </w:pPr>
    </w:p>
    <w:p w:rsidR="00607C72" w:rsidRDefault="00607C72" w:rsidP="001753F9">
      <w:pPr>
        <w:pStyle w:val="Nessunaspaziatura"/>
        <w:jc w:val="both"/>
        <w:rPr>
          <w:sz w:val="24"/>
          <w:szCs w:val="24"/>
        </w:rPr>
      </w:pPr>
    </w:p>
    <w:sectPr w:rsidR="00607C72">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1AE7"/>
    <w:rsid w:val="00025FCD"/>
    <w:rsid w:val="001753F9"/>
    <w:rsid w:val="00195689"/>
    <w:rsid w:val="002A1E45"/>
    <w:rsid w:val="00321D97"/>
    <w:rsid w:val="00607C72"/>
    <w:rsid w:val="007204E4"/>
    <w:rsid w:val="008C7596"/>
    <w:rsid w:val="00B85906"/>
    <w:rsid w:val="00DD5792"/>
    <w:rsid w:val="00E21AE7"/>
    <w:rsid w:val="00E5057C"/>
    <w:rsid w:val="00FA7BC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1753F9"/>
    <w:pPr>
      <w:spacing w:after="0" w:line="240" w:lineRule="auto"/>
    </w:pPr>
  </w:style>
  <w:style w:type="table" w:styleId="Grigliatabella">
    <w:name w:val="Table Grid"/>
    <w:basedOn w:val="Tabellanormale"/>
    <w:uiPriority w:val="59"/>
    <w:rsid w:val="008C759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1753F9"/>
    <w:pPr>
      <w:spacing w:after="0" w:line="240" w:lineRule="auto"/>
    </w:pPr>
  </w:style>
  <w:style w:type="table" w:styleId="Grigliatabella">
    <w:name w:val="Table Grid"/>
    <w:basedOn w:val="Tabellanormale"/>
    <w:uiPriority w:val="59"/>
    <w:rsid w:val="008C759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8462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1</Pages>
  <Words>2006</Words>
  <Characters>11437</Characters>
  <Application>Microsoft Office Word</Application>
  <DocSecurity>0</DocSecurity>
  <Lines>95</Lines>
  <Paragraphs>26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Elio</dc:creator>
  <cp:lastModifiedBy>Elio</cp:lastModifiedBy>
  <cp:revision>6</cp:revision>
  <dcterms:created xsi:type="dcterms:W3CDTF">2013-06-28T10:42:00Z</dcterms:created>
  <dcterms:modified xsi:type="dcterms:W3CDTF">2013-06-28T12:08:00Z</dcterms:modified>
</cp:coreProperties>
</file>