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105" w:rsidRDefault="005C1105" w:rsidP="005C1105">
      <w:pPr>
        <w:jc w:val="center"/>
        <w:rPr>
          <w:b/>
          <w:bCs/>
          <w:color w:val="000000"/>
          <w:sz w:val="22"/>
          <w:szCs w:val="22"/>
        </w:rPr>
      </w:pPr>
      <w:r>
        <w:rPr>
          <w:b/>
          <w:bCs/>
          <w:color w:val="000000"/>
          <w:sz w:val="22"/>
          <w:szCs w:val="22"/>
        </w:rPr>
        <w:t>COMUNICATO STAMPA</w:t>
      </w:r>
    </w:p>
    <w:p w:rsidR="005C1105" w:rsidRDefault="005C1105" w:rsidP="005C1105">
      <w:pPr>
        <w:jc w:val="center"/>
        <w:rPr>
          <w:b/>
          <w:bCs/>
          <w:color w:val="000000"/>
          <w:sz w:val="22"/>
          <w:szCs w:val="22"/>
        </w:rPr>
      </w:pPr>
      <w:r>
        <w:rPr>
          <w:b/>
          <w:bCs/>
          <w:color w:val="000000"/>
          <w:sz w:val="22"/>
          <w:szCs w:val="22"/>
        </w:rPr>
        <w:t> </w:t>
      </w:r>
    </w:p>
    <w:p w:rsidR="005C1105" w:rsidRDefault="005C1105" w:rsidP="005C1105">
      <w:pPr>
        <w:jc w:val="center"/>
        <w:rPr>
          <w:b/>
          <w:bCs/>
          <w:color w:val="000000"/>
          <w:sz w:val="22"/>
          <w:szCs w:val="22"/>
        </w:rPr>
      </w:pPr>
      <w:r>
        <w:rPr>
          <w:b/>
          <w:bCs/>
          <w:color w:val="000000"/>
          <w:sz w:val="22"/>
          <w:szCs w:val="22"/>
        </w:rPr>
        <w:t>RC AUTO E MOTO: ASSURDI  SALASSI DAL + 245 AL + 480% IN 18 ANNI CHE  PRODUCONO 4,5 MILIONI DI VEICOLI NON ASSICURATI. IN ITALIA LA RC AUTO SI MANGIA IL 6,5% DI STIPENDIO, IL DOPPIO DELLA MEDIA OCSE  (6 PAESI); IL TRIPLO DELL’INGHILTERRA.</w:t>
      </w:r>
    </w:p>
    <w:p w:rsidR="005C1105" w:rsidRDefault="005C1105" w:rsidP="005C1105">
      <w:pPr>
        <w:jc w:val="center"/>
        <w:rPr>
          <w:b/>
          <w:bCs/>
          <w:color w:val="000000"/>
          <w:sz w:val="22"/>
          <w:szCs w:val="22"/>
        </w:rPr>
      </w:pPr>
      <w:r>
        <w:rPr>
          <w:b/>
          <w:bCs/>
          <w:color w:val="000000"/>
          <w:sz w:val="22"/>
          <w:szCs w:val="22"/>
        </w:rPr>
        <w:t> </w:t>
      </w:r>
    </w:p>
    <w:p w:rsidR="005C1105" w:rsidRDefault="005C1105" w:rsidP="005C1105">
      <w:pPr>
        <w:jc w:val="both"/>
        <w:rPr>
          <w:sz w:val="23"/>
          <w:szCs w:val="23"/>
        </w:rPr>
      </w:pPr>
      <w:r>
        <w:rPr>
          <w:b/>
          <w:bCs/>
          <w:color w:val="000000"/>
          <w:sz w:val="22"/>
          <w:szCs w:val="22"/>
        </w:rPr>
        <w:t> </w:t>
      </w:r>
      <w:r>
        <w:t xml:space="preserve">       </w:t>
      </w:r>
      <w:r>
        <w:rPr>
          <w:sz w:val="23"/>
          <w:szCs w:val="23"/>
        </w:rPr>
        <w:t>Il settore assicurativo italiano, gode di eccellente salute, grazie alle ottime protezioni politiche che hanno sempre assecondato aumenti scandalosi per le polizze obbligatorie RC Auto, una sorta di pizzo legalizzato a carico di milioni di automobilisti e motociclisti.</w:t>
      </w:r>
    </w:p>
    <w:p w:rsidR="005C1105" w:rsidRDefault="005C1105" w:rsidP="005C1105">
      <w:pPr>
        <w:jc w:val="both"/>
        <w:rPr>
          <w:sz w:val="23"/>
          <w:szCs w:val="23"/>
        </w:rPr>
      </w:pPr>
      <w:r>
        <w:rPr>
          <w:sz w:val="23"/>
          <w:szCs w:val="23"/>
        </w:rPr>
        <w:t>   Prima della liberalizzazione tariffaria del 1994, sotto il regime dei “prezzi amministrati”, gli assicurati  pagavano in media 700.000 lire, il controvalore di 391 euro per assicurare un’auto di media cilindrata fino a 1.800 C.C. Dodici anni dopo, nel 2006, il costo medio della stessa polizza per un auto di fascia media (non contando le punte estreme come la Campania) è lievitato a 868 euro, con un rincaro del 122%, per passare a 1.350 euro nel 2012, con un aumento di 889 euro (+190 %) stimati nel 2013, a differenza di altri Paesi UE, Francia, Spagna, Germania, con aumenti registrati che non hanno mai superato la soglia dell’ 87 % .  I costi medi delle tariffe RC Auto in 18 anni (2004-2012), sono più che raddoppiati passando da 391 euro del 2004 a 1.350 euro nel 2012  ed ulteriori rincari di 35 euro stimati nel 2013),con una incidenza di valore di  + 1.385 euro ed una percentuale superiore al 250 %.</w:t>
      </w:r>
    </w:p>
    <w:p w:rsidR="005C1105" w:rsidRDefault="005C1105" w:rsidP="005C1105">
      <w:pPr>
        <w:rPr>
          <w:b/>
          <w:bCs/>
          <w:color w:val="000000"/>
          <w:sz w:val="23"/>
          <w:szCs w:val="23"/>
        </w:rPr>
      </w:pPr>
    </w:p>
    <w:p w:rsidR="005C1105" w:rsidRDefault="005C1105" w:rsidP="005C1105">
      <w:pPr>
        <w:rPr>
          <w:b/>
          <w:bCs/>
          <w:color w:val="000000"/>
          <w:sz w:val="23"/>
          <w:szCs w:val="23"/>
        </w:rPr>
      </w:pPr>
      <w:r>
        <w:rPr>
          <w:b/>
          <w:bCs/>
          <w:color w:val="000000"/>
          <w:sz w:val="23"/>
          <w:szCs w:val="23"/>
        </w:rPr>
        <w:t> COSTO MEDIO,IN EURO,POLIZZA RC AUTO, MEDIA CILINDRATA (MAX 1.800 C.C.)</w:t>
      </w:r>
    </w:p>
    <w:tbl>
      <w:tblPr>
        <w:tblW w:w="0" w:type="auto"/>
        <w:jc w:val="center"/>
        <w:tblInd w:w="1428" w:type="dxa"/>
        <w:tblCellMar>
          <w:left w:w="0" w:type="dxa"/>
          <w:right w:w="0" w:type="dxa"/>
        </w:tblCellMar>
        <w:tblLook w:val="04A0" w:firstRow="1" w:lastRow="0" w:firstColumn="1" w:lastColumn="0" w:noHBand="0" w:noVBand="1"/>
      </w:tblPr>
      <w:tblGrid>
        <w:gridCol w:w="1066"/>
        <w:gridCol w:w="2870"/>
        <w:gridCol w:w="3083"/>
      </w:tblGrid>
      <w:tr w:rsidR="005C1105" w:rsidTr="005C1105">
        <w:trPr>
          <w:jc w:val="center"/>
        </w:trPr>
        <w:tc>
          <w:tcPr>
            <w:tcW w:w="10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1994</w:t>
            </w:r>
          </w:p>
        </w:tc>
        <w:tc>
          <w:tcPr>
            <w:tcW w:w="28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700.000 £. (391 euro)</w:t>
            </w:r>
          </w:p>
        </w:tc>
        <w:tc>
          <w:tcPr>
            <w:tcW w:w="30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(1994/2012 + 245%)</w:t>
            </w:r>
          </w:p>
        </w:tc>
      </w:tr>
      <w:tr w:rsidR="005C1105" w:rsidTr="005C1105">
        <w:trPr>
          <w:jc w:val="center"/>
        </w:trPr>
        <w:tc>
          <w:tcPr>
            <w:tcW w:w="10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2006</w:t>
            </w:r>
          </w:p>
        </w:tc>
        <w:tc>
          <w:tcPr>
            <w:tcW w:w="2870"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868 Euro    (+ 477 euro)</w:t>
            </w:r>
          </w:p>
        </w:tc>
        <w:tc>
          <w:tcPr>
            <w:tcW w:w="3083"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xml:space="preserve">+ 122 % </w:t>
            </w:r>
          </w:p>
        </w:tc>
      </w:tr>
      <w:tr w:rsidR="005C1105" w:rsidTr="005C1105">
        <w:trPr>
          <w:jc w:val="center"/>
        </w:trPr>
        <w:tc>
          <w:tcPr>
            <w:tcW w:w="10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2008</w:t>
            </w:r>
          </w:p>
        </w:tc>
        <w:tc>
          <w:tcPr>
            <w:tcW w:w="2870"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948 Euro    (+ 557 euro)</w:t>
            </w:r>
          </w:p>
        </w:tc>
        <w:tc>
          <w:tcPr>
            <w:tcW w:w="3083"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xml:space="preserve">+ 142 % </w:t>
            </w:r>
          </w:p>
        </w:tc>
      </w:tr>
      <w:tr w:rsidR="005C1105" w:rsidTr="005C1105">
        <w:trPr>
          <w:jc w:val="center"/>
        </w:trPr>
        <w:tc>
          <w:tcPr>
            <w:tcW w:w="10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2012</w:t>
            </w:r>
          </w:p>
        </w:tc>
        <w:tc>
          <w:tcPr>
            <w:tcW w:w="2870"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xml:space="preserve">1.350 Euro (+ 959 euro) </w:t>
            </w:r>
          </w:p>
        </w:tc>
        <w:tc>
          <w:tcPr>
            <w:tcW w:w="3083"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xml:space="preserve">+ 245% </w:t>
            </w:r>
          </w:p>
        </w:tc>
      </w:tr>
    </w:tbl>
    <w:p w:rsidR="005C1105" w:rsidRDefault="005C1105" w:rsidP="005C1105">
      <w:pPr>
        <w:pStyle w:val="Didascalia"/>
        <w:rPr>
          <w:sz w:val="23"/>
          <w:szCs w:val="23"/>
        </w:rPr>
      </w:pPr>
      <w:r>
        <w:rPr>
          <w:sz w:val="23"/>
          <w:szCs w:val="23"/>
        </w:rPr>
        <w:t> </w:t>
      </w:r>
    </w:p>
    <w:p w:rsidR="005C1105" w:rsidRDefault="005C1105" w:rsidP="005C1105">
      <w:pPr>
        <w:pStyle w:val="Didascalia"/>
        <w:jc w:val="both"/>
        <w:rPr>
          <w:b w:val="0"/>
          <w:bCs w:val="0"/>
          <w:color w:val="auto"/>
          <w:sz w:val="23"/>
          <w:szCs w:val="23"/>
        </w:rPr>
      </w:pPr>
      <w:r>
        <w:rPr>
          <w:b w:val="0"/>
          <w:bCs w:val="0"/>
          <w:color w:val="auto"/>
          <w:sz w:val="23"/>
          <w:szCs w:val="23"/>
        </w:rPr>
        <w:t xml:space="preserve">     Ancora peggiore la situazione delle polizze obbligatorie per assicurare moto e motorini sotto i 150 cc di cilindrata, con utenti taglieggiati  costretti a subire rincari scandalosi ed ingiustificate superiori al 400%, con costi medi passati da 98-121 euro (minimo e massimo) del 1994, a 490-530 Euro (minimo e massimo nel 2008), e con costi RC moto che hanno subito l’impennata del 480% nel 2012, ed un aumento secco di 549 euro, passando da 121 a 670 euro (escluso incendio e furto). </w:t>
      </w:r>
    </w:p>
    <w:p w:rsidR="005C1105" w:rsidRDefault="005C1105" w:rsidP="005C1105">
      <w:pPr>
        <w:pStyle w:val="Didascalia"/>
        <w:rPr>
          <w:sz w:val="23"/>
          <w:szCs w:val="23"/>
        </w:rPr>
      </w:pPr>
    </w:p>
    <w:p w:rsidR="005C1105" w:rsidRDefault="005C1105" w:rsidP="005C1105">
      <w:pPr>
        <w:pStyle w:val="Didascalia"/>
        <w:rPr>
          <w:sz w:val="23"/>
          <w:szCs w:val="23"/>
        </w:rPr>
      </w:pPr>
      <w:r>
        <w:rPr>
          <w:sz w:val="23"/>
          <w:szCs w:val="23"/>
        </w:rPr>
        <w:t>COSTO MEDIO IN EURO, POLIZZA RC MOTO,MOTORINI  FINO A CILINDRATA 150 C.C</w:t>
      </w:r>
    </w:p>
    <w:tbl>
      <w:tblPr>
        <w:tblW w:w="0" w:type="auto"/>
        <w:jc w:val="center"/>
        <w:tblInd w:w="1428" w:type="dxa"/>
        <w:tblCellMar>
          <w:left w:w="0" w:type="dxa"/>
          <w:right w:w="0" w:type="dxa"/>
        </w:tblCellMar>
        <w:tblLook w:val="04A0" w:firstRow="1" w:lastRow="0" w:firstColumn="1" w:lastColumn="0" w:noHBand="0" w:noVBand="1"/>
      </w:tblPr>
      <w:tblGrid>
        <w:gridCol w:w="696"/>
        <w:gridCol w:w="4129"/>
        <w:gridCol w:w="2338"/>
      </w:tblGrid>
      <w:tr w:rsidR="005C1105" w:rsidTr="005C1105">
        <w:trPr>
          <w:jc w:val="center"/>
        </w:trPr>
        <w:tc>
          <w:tcPr>
            <w:tcW w:w="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1994</w:t>
            </w:r>
          </w:p>
        </w:tc>
        <w:tc>
          <w:tcPr>
            <w:tcW w:w="41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190.000-235.000 lire.=(98 -121 euro)</w:t>
            </w:r>
          </w:p>
        </w:tc>
        <w:tc>
          <w:tcPr>
            <w:tcW w:w="23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1994-2004 + 480%</w:t>
            </w:r>
          </w:p>
        </w:tc>
      </w:tr>
      <w:tr w:rsidR="005C1105" w:rsidTr="005C1105">
        <w:trPr>
          <w:jc w:val="center"/>
        </w:trPr>
        <w:tc>
          <w:tcPr>
            <w:tcW w:w="6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2006</w:t>
            </w:r>
          </w:p>
        </w:tc>
        <w:tc>
          <w:tcPr>
            <w:tcW w:w="412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395-490 Euro (+297/369 Euro)</w:t>
            </w:r>
          </w:p>
        </w:tc>
        <w:tc>
          <w:tcPr>
            <w:tcW w:w="2338"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xml:space="preserve">+ 303 / 305 % </w:t>
            </w:r>
          </w:p>
        </w:tc>
      </w:tr>
      <w:tr w:rsidR="005C1105" w:rsidTr="005C1105">
        <w:trPr>
          <w:jc w:val="center"/>
        </w:trPr>
        <w:tc>
          <w:tcPr>
            <w:tcW w:w="6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2008</w:t>
            </w:r>
          </w:p>
        </w:tc>
        <w:tc>
          <w:tcPr>
            <w:tcW w:w="412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490-530 Euro (+392/409 Euro)</w:t>
            </w:r>
          </w:p>
        </w:tc>
        <w:tc>
          <w:tcPr>
            <w:tcW w:w="2338"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+ 400 / 338 %</w:t>
            </w:r>
          </w:p>
        </w:tc>
      </w:tr>
      <w:tr w:rsidR="005C1105" w:rsidTr="005C1105">
        <w:trPr>
          <w:jc w:val="center"/>
        </w:trPr>
        <w:tc>
          <w:tcPr>
            <w:tcW w:w="6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2012</w:t>
            </w:r>
          </w:p>
        </w:tc>
        <w:tc>
          <w:tcPr>
            <w:tcW w:w="412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580-670 Euro (+ 482-549 Euro)</w:t>
            </w:r>
          </w:p>
        </w:tc>
        <w:tc>
          <w:tcPr>
            <w:tcW w:w="2338"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line="276" w:lineRule="auto"/>
              <w:rPr>
                <w:rFonts w:ascii="Century Gothic" w:hAnsi="Century Gothic"/>
                <w:sz w:val="18"/>
                <w:szCs w:val="18"/>
                <w:lang w:eastAsia="en-US"/>
              </w:rPr>
            </w:pPr>
            <w:r>
              <w:rPr>
                <w:rFonts w:ascii="Century Gothic" w:hAnsi="Century Gothic"/>
                <w:sz w:val="18"/>
                <w:szCs w:val="18"/>
                <w:lang w:eastAsia="en-US"/>
              </w:rPr>
              <w:t>+ 492 / 453 %)</w:t>
            </w:r>
          </w:p>
        </w:tc>
      </w:tr>
    </w:tbl>
    <w:p w:rsidR="005C1105" w:rsidRDefault="005C1105" w:rsidP="005C1105">
      <w:pPr>
        <w:spacing w:after="100" w:afterAutospacing="1"/>
        <w:jc w:val="both"/>
        <w:rPr>
          <w:sz w:val="23"/>
          <w:szCs w:val="23"/>
        </w:rPr>
      </w:pPr>
      <w:r>
        <w:rPr>
          <w:sz w:val="23"/>
          <w:szCs w:val="23"/>
        </w:rPr>
        <w:t xml:space="preserve">  </w:t>
      </w:r>
    </w:p>
    <w:p w:rsidR="005C1105" w:rsidRDefault="005C1105" w:rsidP="005C1105">
      <w:pPr>
        <w:spacing w:after="100" w:afterAutospacing="1"/>
        <w:jc w:val="both"/>
        <w:rPr>
          <w:sz w:val="23"/>
          <w:szCs w:val="23"/>
        </w:rPr>
      </w:pPr>
      <w:r>
        <w:rPr>
          <w:sz w:val="23"/>
          <w:szCs w:val="23"/>
        </w:rPr>
        <w:t xml:space="preserve"> Approfittando dell’entrata in vigore del “federalismo fiscale” (d.lgs. n. 68 del 6 maggio 2011) che offre alle provincie la possibilità di deliberare una variazione sull’imposta dell’assicurazione </w:t>
      </w:r>
      <w:proofErr w:type="spellStart"/>
      <w:r>
        <w:rPr>
          <w:sz w:val="23"/>
          <w:szCs w:val="23"/>
        </w:rPr>
        <w:t>R.C.Auto</w:t>
      </w:r>
      <w:proofErr w:type="spellEnd"/>
      <w:r>
        <w:rPr>
          <w:sz w:val="23"/>
          <w:szCs w:val="23"/>
        </w:rPr>
        <w:t xml:space="preserve"> nella misura massima del 3,5% in aumento o in diminuzione rispetto a quella attualmente prevista del 12,5% del premio, da marzo  2013 è arrivato l’aumento dell’imposta sulle assicurazioni contro la responsabilità civile derivante dalla circolazione dei veicoli a motore, esclusi i ciclomotori, (RCA), da un + 2% ad un +3,5% in base alla provincia. Le altre garanzie (incendio e furto, garanzie extra) hanno già una percentuale del 13,5%. Ad </w:t>
      </w:r>
      <w:proofErr w:type="spellStart"/>
      <w:r>
        <w:rPr>
          <w:sz w:val="23"/>
          <w:szCs w:val="23"/>
        </w:rPr>
        <w:t>es.per</w:t>
      </w:r>
      <w:proofErr w:type="spellEnd"/>
      <w:r>
        <w:rPr>
          <w:sz w:val="23"/>
          <w:szCs w:val="23"/>
        </w:rPr>
        <w:t xml:space="preserve"> Roma questo aumento è del + 3,5% per cui dalle attuali imposte del 12,5% si passerà al 16% per tutte quelle polizze emesse o quietanze incassate dal 1 Marzo 2013, anche per quanto riguarda le scadenze retroattive non incassate entro il 28 Febbraio 2013. Una ghiotta occasione per stangare gli assicurati con ulteriori aumenti. Il caro </w:t>
      </w:r>
      <w:proofErr w:type="spellStart"/>
      <w:r>
        <w:rPr>
          <w:sz w:val="23"/>
          <w:szCs w:val="23"/>
        </w:rPr>
        <w:t>Rc</w:t>
      </w:r>
      <w:proofErr w:type="spellEnd"/>
      <w:r>
        <w:rPr>
          <w:sz w:val="23"/>
          <w:szCs w:val="23"/>
        </w:rPr>
        <w:t xml:space="preserve"> auto è responsabile dell’aumento dei veicoli non assicurati, alla soglia di 4,5 milioni</w:t>
      </w:r>
      <w:r>
        <w:rPr>
          <w:b/>
          <w:bCs/>
          <w:sz w:val="23"/>
          <w:szCs w:val="23"/>
        </w:rPr>
        <w:t xml:space="preserve">, </w:t>
      </w:r>
      <w:r>
        <w:rPr>
          <w:sz w:val="23"/>
          <w:szCs w:val="23"/>
        </w:rPr>
        <w:t xml:space="preserve">un pericolo per l’incolumità propria e dei terzi trasportati e danneggiati, che non sempre vengono risarciti dal Fondo Vittime della Strada.   </w:t>
      </w:r>
    </w:p>
    <w:p w:rsidR="005C1105" w:rsidRDefault="005C1105" w:rsidP="005C1105">
      <w:pPr>
        <w:spacing w:after="100" w:afterAutospacing="1"/>
        <w:jc w:val="both"/>
        <w:rPr>
          <w:b/>
          <w:bCs/>
          <w:sz w:val="23"/>
          <w:szCs w:val="23"/>
        </w:rPr>
      </w:pPr>
      <w:bookmarkStart w:id="0" w:name="_GoBack"/>
      <w:bookmarkEnd w:id="0"/>
    </w:p>
    <w:tbl>
      <w:tblPr>
        <w:tblW w:w="0" w:type="auto"/>
        <w:tblCellMar>
          <w:left w:w="0" w:type="dxa"/>
          <w:right w:w="0" w:type="dxa"/>
        </w:tblCellMar>
        <w:tblLook w:val="04A0" w:firstRow="1" w:lastRow="0" w:firstColumn="1" w:lastColumn="0" w:noHBand="0" w:noVBand="1"/>
      </w:tblPr>
      <w:tblGrid>
        <w:gridCol w:w="2518"/>
        <w:gridCol w:w="2436"/>
        <w:gridCol w:w="2379"/>
        <w:gridCol w:w="2445"/>
      </w:tblGrid>
      <w:tr w:rsidR="005C1105" w:rsidTr="005C1105">
        <w:tc>
          <w:tcPr>
            <w:tcW w:w="25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jc w:val="center"/>
              <w:rPr>
                <w:rFonts w:ascii="Century Gothic" w:hAnsi="Century Gothic"/>
                <w:sz w:val="18"/>
                <w:szCs w:val="18"/>
                <w:lang w:eastAsia="en-US"/>
              </w:rPr>
            </w:pPr>
          </w:p>
        </w:tc>
        <w:tc>
          <w:tcPr>
            <w:tcW w:w="24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center"/>
              <w:rPr>
                <w:rFonts w:ascii="Century Gothic" w:hAnsi="Century Gothic"/>
                <w:sz w:val="18"/>
                <w:szCs w:val="18"/>
                <w:lang w:eastAsia="en-US"/>
              </w:rPr>
            </w:pPr>
            <w:r>
              <w:rPr>
                <w:rFonts w:ascii="Century Gothic" w:hAnsi="Century Gothic"/>
                <w:sz w:val="18"/>
                <w:szCs w:val="18"/>
                <w:lang w:eastAsia="en-US"/>
              </w:rPr>
              <w:t>Stipendio medio netto in euro rilevato Ocse 2012</w:t>
            </w:r>
          </w:p>
        </w:tc>
        <w:tc>
          <w:tcPr>
            <w:tcW w:w="23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center"/>
              <w:rPr>
                <w:rFonts w:ascii="Century Gothic" w:hAnsi="Century Gothic"/>
                <w:sz w:val="18"/>
                <w:szCs w:val="18"/>
                <w:lang w:eastAsia="en-US"/>
              </w:rPr>
            </w:pPr>
            <w:r>
              <w:rPr>
                <w:rFonts w:ascii="Century Gothic" w:hAnsi="Century Gothic"/>
                <w:sz w:val="18"/>
                <w:szCs w:val="18"/>
                <w:lang w:eastAsia="en-US"/>
              </w:rPr>
              <w:t>Costo medio RCA + Furto e Incendio in Euro</w:t>
            </w:r>
          </w:p>
        </w:tc>
        <w:tc>
          <w:tcPr>
            <w:tcW w:w="24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center"/>
              <w:rPr>
                <w:rFonts w:ascii="Century Gothic" w:hAnsi="Century Gothic"/>
                <w:sz w:val="18"/>
                <w:szCs w:val="18"/>
                <w:lang w:eastAsia="en-US"/>
              </w:rPr>
            </w:pPr>
            <w:r>
              <w:rPr>
                <w:rFonts w:ascii="Century Gothic" w:hAnsi="Century Gothic"/>
                <w:sz w:val="18"/>
                <w:szCs w:val="18"/>
                <w:lang w:eastAsia="en-US"/>
              </w:rPr>
              <w:t>Percentuale Costo / Stipendio</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Gran Bretagna</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29.604</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(450 £)              643</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2,2</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Germania</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25.095</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715</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2,8</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Irlanda</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24.162</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690</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2,9</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Francia</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22.689</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650</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2,9</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Spagna</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21.122</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630</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3,0</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Italia</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19.100</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1.250</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6,5</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rPr>
                <w:rFonts w:ascii="Century Gothic" w:hAnsi="Century Gothic"/>
                <w:sz w:val="18"/>
                <w:szCs w:val="18"/>
                <w:lang w:eastAsia="en-US"/>
              </w:rPr>
            </w:pPr>
          </w:p>
        </w:tc>
        <w:tc>
          <w:tcPr>
            <w:tcW w:w="2436" w:type="dxa"/>
            <w:tcBorders>
              <w:top w:val="nil"/>
              <w:left w:val="nil"/>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jc w:val="right"/>
              <w:rPr>
                <w:rFonts w:ascii="Century Gothic" w:hAnsi="Century Gothic"/>
                <w:sz w:val="18"/>
                <w:szCs w:val="18"/>
                <w:lang w:eastAsia="en-US"/>
              </w:rPr>
            </w:pPr>
          </w:p>
        </w:tc>
        <w:tc>
          <w:tcPr>
            <w:tcW w:w="2379" w:type="dxa"/>
            <w:tcBorders>
              <w:top w:val="nil"/>
              <w:left w:val="nil"/>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jc w:val="right"/>
              <w:rPr>
                <w:rFonts w:ascii="Century Gothic" w:hAnsi="Century Gothic"/>
                <w:sz w:val="18"/>
                <w:szCs w:val="18"/>
                <w:lang w:eastAsia="en-US"/>
              </w:rPr>
            </w:pPr>
          </w:p>
        </w:tc>
        <w:tc>
          <w:tcPr>
            <w:tcW w:w="2445" w:type="dxa"/>
            <w:tcBorders>
              <w:top w:val="nil"/>
              <w:left w:val="nil"/>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jc w:val="right"/>
              <w:rPr>
                <w:rFonts w:ascii="Century Gothic" w:hAnsi="Century Gothic"/>
                <w:sz w:val="18"/>
                <w:szCs w:val="18"/>
                <w:lang w:eastAsia="en-US"/>
              </w:rPr>
            </w:pP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Media 6 paesi considerati</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23.629</w:t>
            </w:r>
          </w:p>
        </w:tc>
        <w:tc>
          <w:tcPr>
            <w:tcW w:w="2379"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763</w:t>
            </w:r>
          </w:p>
        </w:tc>
        <w:tc>
          <w:tcPr>
            <w:tcW w:w="2445"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3,2</w:t>
            </w:r>
          </w:p>
        </w:tc>
      </w:tr>
      <w:tr w:rsidR="005C1105" w:rsidTr="005C1105">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rPr>
                <w:rFonts w:ascii="Century Gothic" w:hAnsi="Century Gothic"/>
                <w:sz w:val="18"/>
                <w:szCs w:val="18"/>
                <w:lang w:eastAsia="en-US"/>
              </w:rPr>
            </w:pPr>
            <w:r>
              <w:rPr>
                <w:rFonts w:ascii="Century Gothic" w:hAnsi="Century Gothic"/>
                <w:sz w:val="18"/>
                <w:szCs w:val="18"/>
                <w:lang w:eastAsia="en-US"/>
              </w:rPr>
              <w:t>Media OCSE</w:t>
            </w:r>
          </w:p>
        </w:tc>
        <w:tc>
          <w:tcPr>
            <w:tcW w:w="2436" w:type="dxa"/>
            <w:tcBorders>
              <w:top w:val="nil"/>
              <w:left w:val="nil"/>
              <w:bottom w:val="single" w:sz="8" w:space="0" w:color="auto"/>
              <w:right w:val="single" w:sz="8" w:space="0" w:color="auto"/>
            </w:tcBorders>
            <w:tcMar>
              <w:top w:w="0" w:type="dxa"/>
              <w:left w:w="108" w:type="dxa"/>
              <w:bottom w:w="0" w:type="dxa"/>
              <w:right w:w="108" w:type="dxa"/>
            </w:tcMar>
            <w:hideMark/>
          </w:tcPr>
          <w:p w:rsidR="005C1105" w:rsidRDefault="005C1105">
            <w:pPr>
              <w:spacing w:after="100" w:afterAutospacing="1"/>
              <w:jc w:val="right"/>
              <w:rPr>
                <w:rFonts w:ascii="Century Gothic" w:hAnsi="Century Gothic"/>
                <w:sz w:val="18"/>
                <w:szCs w:val="18"/>
                <w:lang w:eastAsia="en-US"/>
              </w:rPr>
            </w:pPr>
            <w:r>
              <w:rPr>
                <w:rFonts w:ascii="Century Gothic" w:hAnsi="Century Gothic"/>
                <w:sz w:val="18"/>
                <w:szCs w:val="18"/>
                <w:lang w:eastAsia="en-US"/>
              </w:rPr>
              <w:t>20.593</w:t>
            </w:r>
          </w:p>
        </w:tc>
        <w:tc>
          <w:tcPr>
            <w:tcW w:w="2379" w:type="dxa"/>
            <w:tcBorders>
              <w:top w:val="nil"/>
              <w:left w:val="nil"/>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jc w:val="right"/>
              <w:rPr>
                <w:rFonts w:ascii="Century Gothic" w:hAnsi="Century Gothic"/>
                <w:sz w:val="18"/>
                <w:szCs w:val="18"/>
                <w:lang w:eastAsia="en-US"/>
              </w:rPr>
            </w:pPr>
          </w:p>
        </w:tc>
        <w:tc>
          <w:tcPr>
            <w:tcW w:w="2445" w:type="dxa"/>
            <w:tcBorders>
              <w:top w:val="nil"/>
              <w:left w:val="nil"/>
              <w:bottom w:val="single" w:sz="8" w:space="0" w:color="auto"/>
              <w:right w:val="single" w:sz="8" w:space="0" w:color="auto"/>
            </w:tcBorders>
            <w:tcMar>
              <w:top w:w="0" w:type="dxa"/>
              <w:left w:w="108" w:type="dxa"/>
              <w:bottom w:w="0" w:type="dxa"/>
              <w:right w:w="108" w:type="dxa"/>
            </w:tcMar>
          </w:tcPr>
          <w:p w:rsidR="005C1105" w:rsidRDefault="005C1105">
            <w:pPr>
              <w:spacing w:after="100" w:afterAutospacing="1"/>
              <w:jc w:val="right"/>
              <w:rPr>
                <w:rFonts w:ascii="Century Gothic" w:hAnsi="Century Gothic"/>
                <w:sz w:val="18"/>
                <w:szCs w:val="18"/>
                <w:lang w:eastAsia="en-US"/>
              </w:rPr>
            </w:pPr>
          </w:p>
        </w:tc>
      </w:tr>
    </w:tbl>
    <w:p w:rsidR="005C1105" w:rsidRDefault="005C1105" w:rsidP="005C1105">
      <w:pPr>
        <w:jc w:val="both"/>
        <w:rPr>
          <w:sz w:val="23"/>
          <w:szCs w:val="23"/>
        </w:rPr>
      </w:pPr>
      <w:r>
        <w:rPr>
          <w:sz w:val="23"/>
          <w:szCs w:val="23"/>
        </w:rPr>
        <w:t xml:space="preserve">   </w:t>
      </w:r>
    </w:p>
    <w:p w:rsidR="005C1105" w:rsidRDefault="005C1105" w:rsidP="005C1105">
      <w:pPr>
        <w:jc w:val="both"/>
        <w:rPr>
          <w:sz w:val="23"/>
          <w:szCs w:val="23"/>
        </w:rPr>
      </w:pPr>
      <w:r>
        <w:rPr>
          <w:sz w:val="23"/>
          <w:szCs w:val="23"/>
        </w:rPr>
        <w:t>Adusbef e Federconsumatori invitano il Governo, purtroppo sempre più a braccetto con banche ed assicurazioni con la finalità di stangare milioni di consumatori, di  porre un argine ad una speculazione decennale assurda ed illegale.</w:t>
      </w:r>
    </w:p>
    <w:p w:rsidR="005C1105" w:rsidRDefault="005C1105" w:rsidP="005C1105">
      <w:pPr>
        <w:jc w:val="both"/>
        <w:rPr>
          <w:sz w:val="23"/>
          <w:szCs w:val="23"/>
        </w:rPr>
      </w:pPr>
    </w:p>
    <w:p w:rsidR="005C1105" w:rsidRDefault="005C1105" w:rsidP="005C1105">
      <w:pPr>
        <w:rPr>
          <w:sz w:val="23"/>
          <w:szCs w:val="23"/>
        </w:rPr>
      </w:pPr>
      <w:r>
        <w:rPr>
          <w:sz w:val="23"/>
          <w:szCs w:val="23"/>
        </w:rPr>
        <w:t xml:space="preserve">                                                       </w:t>
      </w:r>
    </w:p>
    <w:p w:rsidR="005C1105" w:rsidRDefault="005C1105" w:rsidP="005C1105">
      <w:pPr>
        <w:pStyle w:val="Didascalia"/>
        <w:jc w:val="both"/>
        <w:rPr>
          <w:b w:val="0"/>
          <w:bCs w:val="0"/>
          <w:color w:val="auto"/>
          <w:sz w:val="23"/>
          <w:szCs w:val="23"/>
        </w:rPr>
      </w:pPr>
      <w:r>
        <w:rPr>
          <w:b w:val="0"/>
          <w:bCs w:val="0"/>
          <w:color w:val="auto"/>
          <w:sz w:val="23"/>
          <w:szCs w:val="23"/>
        </w:rPr>
        <w:t xml:space="preserve">                                                    Elio Lannutti (Adusbef) – Rosario </w:t>
      </w:r>
      <w:proofErr w:type="spellStart"/>
      <w:r>
        <w:rPr>
          <w:b w:val="0"/>
          <w:bCs w:val="0"/>
          <w:color w:val="auto"/>
          <w:sz w:val="23"/>
          <w:szCs w:val="23"/>
        </w:rPr>
        <w:t>Trefiletti</w:t>
      </w:r>
      <w:proofErr w:type="spellEnd"/>
      <w:r>
        <w:rPr>
          <w:b w:val="0"/>
          <w:bCs w:val="0"/>
          <w:color w:val="auto"/>
          <w:sz w:val="23"/>
          <w:szCs w:val="23"/>
        </w:rPr>
        <w:t xml:space="preserve"> (Federconsumatori)</w:t>
      </w:r>
    </w:p>
    <w:p w:rsidR="005C1105" w:rsidRDefault="005C1105" w:rsidP="005C1105">
      <w:pPr>
        <w:pStyle w:val="Didascalia"/>
        <w:jc w:val="both"/>
        <w:rPr>
          <w:b w:val="0"/>
          <w:bCs w:val="0"/>
          <w:color w:val="auto"/>
          <w:sz w:val="23"/>
          <w:szCs w:val="23"/>
        </w:rPr>
      </w:pPr>
    </w:p>
    <w:p w:rsidR="005C1105" w:rsidRDefault="005C1105" w:rsidP="005C1105">
      <w:pPr>
        <w:pStyle w:val="Didascalia"/>
        <w:jc w:val="both"/>
        <w:rPr>
          <w:b w:val="0"/>
          <w:bCs w:val="0"/>
          <w:color w:val="auto"/>
          <w:sz w:val="23"/>
          <w:szCs w:val="23"/>
        </w:rPr>
      </w:pPr>
      <w:r>
        <w:rPr>
          <w:b w:val="0"/>
          <w:bCs w:val="0"/>
          <w:color w:val="auto"/>
          <w:sz w:val="23"/>
          <w:szCs w:val="23"/>
        </w:rPr>
        <w:t>Roma,1.6.2013</w:t>
      </w:r>
    </w:p>
    <w:p w:rsidR="005C1105" w:rsidRDefault="005C1105" w:rsidP="005C1105">
      <w:pPr>
        <w:rPr>
          <w:rFonts w:ascii="Calibri" w:hAnsi="Calibri"/>
          <w:sz w:val="22"/>
          <w:szCs w:val="22"/>
        </w:rPr>
      </w:pP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105"/>
    <w:rsid w:val="00130235"/>
    <w:rsid w:val="001A3C40"/>
    <w:rsid w:val="002E4C34"/>
    <w:rsid w:val="00370059"/>
    <w:rsid w:val="004F322C"/>
    <w:rsid w:val="005C1105"/>
    <w:rsid w:val="005F3BF0"/>
    <w:rsid w:val="00632BCB"/>
    <w:rsid w:val="007339EC"/>
    <w:rsid w:val="00754201"/>
    <w:rsid w:val="00873879"/>
    <w:rsid w:val="0094402A"/>
    <w:rsid w:val="009B4EA1"/>
    <w:rsid w:val="00A42182"/>
    <w:rsid w:val="00B35AE5"/>
    <w:rsid w:val="00B90F78"/>
    <w:rsid w:val="00C200C3"/>
    <w:rsid w:val="00C55771"/>
    <w:rsid w:val="00C76E16"/>
    <w:rsid w:val="00D07FAE"/>
    <w:rsid w:val="00D709E1"/>
    <w:rsid w:val="00DB5BBF"/>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1105"/>
    <w:pPr>
      <w:spacing w:afterAutospacing="0"/>
    </w:pPr>
    <w:rPr>
      <w:rFonts w:ascii="Times New Roman" w:eastAsiaTheme="minorHAnsi" w:hAnsi="Times New Roman"/>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sz w:val="22"/>
      <w:szCs w:val="22"/>
    </w:rPr>
  </w:style>
  <w:style w:type="paragraph" w:styleId="Titolo4">
    <w:name w:val="heading 4"/>
    <w:basedOn w:val="Normale"/>
    <w:link w:val="Titolo4Carattere"/>
    <w:uiPriority w:val="9"/>
    <w:qFormat/>
    <w:rsid w:val="00130235"/>
    <w:pPr>
      <w:keepNext/>
      <w:spacing w:before="240" w:after="60" w:afterAutospacing="1"/>
      <w:outlineLvl w:val="3"/>
    </w:pPr>
    <w:rPr>
      <w:rFonts w:eastAsia="Times New Roman"/>
      <w:b/>
      <w:iCs/>
      <w:kern w:val="36"/>
      <w:sz w:val="28"/>
      <w:szCs w:val="28"/>
    </w:rPr>
  </w:style>
  <w:style w:type="paragraph" w:styleId="Titolo6">
    <w:name w:val="heading 6"/>
    <w:basedOn w:val="Normale"/>
    <w:link w:val="Titolo6Carattere"/>
    <w:uiPriority w:val="9"/>
    <w:qFormat/>
    <w:rsid w:val="00130235"/>
    <w:pPr>
      <w:spacing w:before="240" w:after="60" w:afterAutospacing="1"/>
      <w:outlineLvl w:val="5"/>
    </w:pPr>
    <w:rPr>
      <w:rFonts w:eastAsia="Times New Roman"/>
      <w:b/>
      <w:iCs/>
      <w:kern w:val="3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afterAutospacing="1" w:line="276" w:lineRule="auto"/>
      <w:ind w:left="170" w:right="-39"/>
      <w:jc w:val="both"/>
    </w:pPr>
    <w:rPr>
      <w:rFonts w:ascii="Century Gothic" w:eastAsia="Times New Roman" w:hAnsi="Century Gothic" w:cs="Century Gothic"/>
      <w:bCs/>
      <w:iCs/>
      <w:kern w:val="36"/>
      <w:sz w:val="22"/>
      <w:szCs w:val="22"/>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rPr>
  </w:style>
  <w:style w:type="paragraph" w:styleId="Sommario3">
    <w:name w:val="toc 3"/>
    <w:basedOn w:val="Normale"/>
    <w:autoRedefine/>
    <w:uiPriority w:val="39"/>
    <w:semiHidden/>
    <w:unhideWhenUsed/>
    <w:rsid w:val="00130235"/>
    <w:pPr>
      <w:spacing w:afterAutospacing="1"/>
      <w:ind w:left="440"/>
    </w:pPr>
    <w:rPr>
      <w:rFonts w:eastAsia="Times New Roman"/>
      <w:bCs/>
      <w:iCs/>
      <w:kern w:val="36"/>
      <w:sz w:val="22"/>
      <w:szCs w:val="22"/>
    </w:rPr>
  </w:style>
  <w:style w:type="paragraph" w:styleId="Testonotaapidipagina">
    <w:name w:val="footnote text"/>
    <w:basedOn w:val="Normale"/>
    <w:link w:val="TestonotaapidipaginaCarattere"/>
    <w:uiPriority w:val="99"/>
    <w:semiHidden/>
    <w:unhideWhenUsed/>
    <w:rsid w:val="00130235"/>
    <w:pPr>
      <w:spacing w:afterAutospacing="1"/>
    </w:pPr>
    <w:rPr>
      <w:rFonts w:eastAsia="Times New Roman"/>
      <w:bCs/>
      <w:iCs/>
      <w:kern w:val="36"/>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eastAsia="Times New Roman"/>
      <w:bCs/>
      <w:iCs/>
      <w:kern w:val="36"/>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eastAsia="Times New Roman"/>
      <w:bCs/>
      <w:iCs/>
      <w:kern w:val="36"/>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rPr>
  </w:style>
  <w:style w:type="paragraph" w:styleId="Didascalia">
    <w:name w:val="caption"/>
    <w:basedOn w:val="Normale"/>
    <w:uiPriority w:val="35"/>
    <w:semiHidden/>
    <w:unhideWhenUsed/>
    <w:qFormat/>
    <w:rsid w:val="005C1105"/>
    <w:pPr>
      <w:jc w:val="center"/>
    </w:pPr>
    <w:rPr>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1105"/>
    <w:pPr>
      <w:spacing w:afterAutospacing="0"/>
    </w:pPr>
    <w:rPr>
      <w:rFonts w:ascii="Times New Roman" w:eastAsiaTheme="minorHAnsi" w:hAnsi="Times New Roman"/>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sz w:val="22"/>
      <w:szCs w:val="22"/>
    </w:rPr>
  </w:style>
  <w:style w:type="paragraph" w:styleId="Titolo4">
    <w:name w:val="heading 4"/>
    <w:basedOn w:val="Normale"/>
    <w:link w:val="Titolo4Carattere"/>
    <w:uiPriority w:val="9"/>
    <w:qFormat/>
    <w:rsid w:val="00130235"/>
    <w:pPr>
      <w:keepNext/>
      <w:spacing w:before="240" w:after="60" w:afterAutospacing="1"/>
      <w:outlineLvl w:val="3"/>
    </w:pPr>
    <w:rPr>
      <w:rFonts w:eastAsia="Times New Roman"/>
      <w:b/>
      <w:iCs/>
      <w:kern w:val="36"/>
      <w:sz w:val="28"/>
      <w:szCs w:val="28"/>
    </w:rPr>
  </w:style>
  <w:style w:type="paragraph" w:styleId="Titolo6">
    <w:name w:val="heading 6"/>
    <w:basedOn w:val="Normale"/>
    <w:link w:val="Titolo6Carattere"/>
    <w:uiPriority w:val="9"/>
    <w:qFormat/>
    <w:rsid w:val="00130235"/>
    <w:pPr>
      <w:spacing w:before="240" w:after="60" w:afterAutospacing="1"/>
      <w:outlineLvl w:val="5"/>
    </w:pPr>
    <w:rPr>
      <w:rFonts w:eastAsia="Times New Roman"/>
      <w:b/>
      <w:iCs/>
      <w:kern w:val="3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afterAutospacing="1" w:line="276" w:lineRule="auto"/>
      <w:ind w:left="170" w:right="-39"/>
      <w:jc w:val="both"/>
    </w:pPr>
    <w:rPr>
      <w:rFonts w:ascii="Century Gothic" w:eastAsia="Times New Roman" w:hAnsi="Century Gothic" w:cs="Century Gothic"/>
      <w:bCs/>
      <w:iCs/>
      <w:kern w:val="36"/>
      <w:sz w:val="22"/>
      <w:szCs w:val="22"/>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rPr>
  </w:style>
  <w:style w:type="paragraph" w:styleId="Sommario3">
    <w:name w:val="toc 3"/>
    <w:basedOn w:val="Normale"/>
    <w:autoRedefine/>
    <w:uiPriority w:val="39"/>
    <w:semiHidden/>
    <w:unhideWhenUsed/>
    <w:rsid w:val="00130235"/>
    <w:pPr>
      <w:spacing w:afterAutospacing="1"/>
      <w:ind w:left="440"/>
    </w:pPr>
    <w:rPr>
      <w:rFonts w:eastAsia="Times New Roman"/>
      <w:bCs/>
      <w:iCs/>
      <w:kern w:val="36"/>
      <w:sz w:val="22"/>
      <w:szCs w:val="22"/>
    </w:rPr>
  </w:style>
  <w:style w:type="paragraph" w:styleId="Testonotaapidipagina">
    <w:name w:val="footnote text"/>
    <w:basedOn w:val="Normale"/>
    <w:link w:val="TestonotaapidipaginaCarattere"/>
    <w:uiPriority w:val="99"/>
    <w:semiHidden/>
    <w:unhideWhenUsed/>
    <w:rsid w:val="00130235"/>
    <w:pPr>
      <w:spacing w:afterAutospacing="1"/>
    </w:pPr>
    <w:rPr>
      <w:rFonts w:eastAsia="Times New Roman"/>
      <w:bCs/>
      <w:iCs/>
      <w:kern w:val="36"/>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eastAsia="Times New Roman"/>
      <w:bCs/>
      <w:iCs/>
      <w:kern w:val="36"/>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eastAsia="Times New Roman"/>
      <w:bCs/>
      <w:iCs/>
      <w:kern w:val="36"/>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rPr>
  </w:style>
  <w:style w:type="paragraph" w:styleId="Didascalia">
    <w:name w:val="caption"/>
    <w:basedOn w:val="Normale"/>
    <w:uiPriority w:val="35"/>
    <w:semiHidden/>
    <w:unhideWhenUsed/>
    <w:qFormat/>
    <w:rsid w:val="005C1105"/>
    <w:pPr>
      <w:jc w:val="center"/>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5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3821</Characters>
  <Application>Microsoft Office Word</Application>
  <DocSecurity>0</DocSecurity>
  <Lines>31</Lines>
  <Paragraphs>8</Paragraphs>
  <ScaleCrop>false</ScaleCrop>
  <Company/>
  <LinksUpToDate>false</LinksUpToDate>
  <CharactersWithSpaces>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2013-06-03T13:47:00Z</dcterms:created>
  <dcterms:modified xsi:type="dcterms:W3CDTF">2013-06-03T13:48:00Z</dcterms:modified>
</cp:coreProperties>
</file>