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7E7" w:rsidRDefault="00DB07E7" w:rsidP="00DB07E7">
      <w:pPr>
        <w:jc w:val="center"/>
        <w:rPr>
          <w:b/>
          <w:bCs/>
          <w:color w:val="000000"/>
          <w:sz w:val="22"/>
          <w:szCs w:val="22"/>
        </w:rPr>
      </w:pPr>
      <w:r>
        <w:rPr>
          <w:b/>
          <w:bCs/>
          <w:color w:val="000000"/>
          <w:sz w:val="22"/>
          <w:szCs w:val="22"/>
        </w:rPr>
        <w:t>COMUNICATO STAMPA</w:t>
      </w:r>
    </w:p>
    <w:p w:rsidR="00DB07E7" w:rsidRDefault="00DB07E7" w:rsidP="00DB07E7">
      <w:pPr>
        <w:ind w:left="-142" w:right="-285"/>
        <w:jc w:val="center"/>
        <w:rPr>
          <w:b/>
          <w:bCs/>
          <w:color w:val="000000"/>
          <w:sz w:val="22"/>
          <w:szCs w:val="22"/>
        </w:rPr>
      </w:pPr>
      <w:bookmarkStart w:id="0" w:name="_GoBack"/>
      <w:r>
        <w:rPr>
          <w:b/>
          <w:bCs/>
          <w:color w:val="000000"/>
          <w:sz w:val="22"/>
          <w:szCs w:val="22"/>
        </w:rPr>
        <w:t> </w:t>
      </w:r>
    </w:p>
    <w:p w:rsidR="00DB07E7" w:rsidRDefault="00DB07E7" w:rsidP="00DB07E7">
      <w:pPr>
        <w:ind w:left="-142" w:right="-285"/>
        <w:jc w:val="center"/>
        <w:rPr>
          <w:b/>
          <w:bCs/>
          <w:color w:val="000000"/>
          <w:sz w:val="22"/>
          <w:szCs w:val="22"/>
        </w:rPr>
      </w:pPr>
      <w:r>
        <w:rPr>
          <w:b/>
          <w:bCs/>
          <w:color w:val="000000"/>
          <w:sz w:val="22"/>
          <w:szCs w:val="22"/>
        </w:rPr>
        <w:t>RC AUTO E MOTO: ASSURDI  SALASSI DAL 149 AL 413%. INTERVENGA IL GOVERNO !</w:t>
      </w:r>
    </w:p>
    <w:p w:rsidR="00DB07E7" w:rsidRDefault="00DB07E7" w:rsidP="00DB07E7">
      <w:pPr>
        <w:ind w:left="-142" w:right="-285"/>
        <w:jc w:val="center"/>
        <w:rPr>
          <w:b/>
          <w:bCs/>
          <w:color w:val="000000"/>
          <w:sz w:val="22"/>
          <w:szCs w:val="22"/>
        </w:rPr>
      </w:pPr>
      <w:r>
        <w:rPr>
          <w:b/>
          <w:bCs/>
          <w:color w:val="000000"/>
          <w:sz w:val="22"/>
          <w:szCs w:val="22"/>
        </w:rPr>
        <w:t> </w:t>
      </w:r>
    </w:p>
    <w:p w:rsidR="00DB07E7" w:rsidRDefault="00DB07E7" w:rsidP="00DB07E7">
      <w:pPr>
        <w:ind w:left="-142" w:right="-285"/>
        <w:jc w:val="both"/>
        <w:rPr>
          <w:sz w:val="23"/>
          <w:szCs w:val="23"/>
        </w:rPr>
      </w:pPr>
      <w:r>
        <w:rPr>
          <w:b/>
          <w:bCs/>
          <w:color w:val="000000"/>
          <w:sz w:val="22"/>
          <w:szCs w:val="22"/>
        </w:rPr>
        <w:t> </w:t>
      </w:r>
      <w:r>
        <w:t xml:space="preserve">       </w:t>
      </w:r>
      <w:r>
        <w:rPr>
          <w:sz w:val="23"/>
          <w:szCs w:val="23"/>
        </w:rPr>
        <w:t>Il settore assicurativo italiano, gode di eccellente salute, grazie alle ottime protezioni politiche che hanno sempre assecondato aumenti allegri e senza soluzione di continuità, effettuati per le polizze obbligatorie RC Auto, una sorta di pizzo legalizzato a carico di milioni di automobilisti.</w:t>
      </w:r>
    </w:p>
    <w:p w:rsidR="00DB07E7" w:rsidRDefault="00DB07E7" w:rsidP="00DB07E7">
      <w:pPr>
        <w:ind w:left="-142" w:right="-285"/>
        <w:jc w:val="both"/>
        <w:rPr>
          <w:sz w:val="23"/>
          <w:szCs w:val="23"/>
        </w:rPr>
      </w:pPr>
      <w:r>
        <w:rPr>
          <w:sz w:val="23"/>
          <w:szCs w:val="23"/>
        </w:rPr>
        <w:t xml:space="preserve">   Prima della liberalizzazione tariffaria del 1994, sotto il regime dei “prezzi amministrati”, gli assicurati  pagavano in media 700.000 lire, il controvalore di 361 euro per assicurare un’auto di media cilindrata fino a 1.800 C.C. Dodici anni dopo, nel 2006, il costo medio della stessa polizza per un auto di fascia media (non contando le punte estreme come la Campania) è lievitato a 868 euro, con un rincaro del 140,5 per cento, per passare a 1.250 euro nel 2012, con un aumento di 889 euro secchi  (+190 %) stimati nel 2013, a differenza di altri Paesi UE, come Francia, Spagna, </w:t>
      </w:r>
      <w:proofErr w:type="spellStart"/>
      <w:r>
        <w:rPr>
          <w:sz w:val="23"/>
          <w:szCs w:val="23"/>
        </w:rPr>
        <w:t>Germania,dove</w:t>
      </w:r>
      <w:proofErr w:type="spellEnd"/>
      <w:r>
        <w:rPr>
          <w:sz w:val="23"/>
          <w:szCs w:val="23"/>
        </w:rPr>
        <w:t xml:space="preserve"> gli aumenti registrati negli stessi anni, non hanno mai superato la soglia del 87 % .</w:t>
      </w:r>
    </w:p>
    <w:p w:rsidR="00DB07E7" w:rsidRDefault="00DB07E7" w:rsidP="00DB07E7">
      <w:pPr>
        <w:ind w:left="-142" w:right="-285"/>
        <w:jc w:val="both"/>
        <w:rPr>
          <w:sz w:val="23"/>
          <w:szCs w:val="23"/>
        </w:rPr>
      </w:pPr>
      <w:r>
        <w:rPr>
          <w:sz w:val="23"/>
          <w:szCs w:val="23"/>
        </w:rPr>
        <w:t>    I costi medi delle tariffe obbligatorie RC Auto in questi 18 anni (2004-2012), come si possono vedere dalle tabelle, sono più che raddoppiati passando da 391 euro del 2004 a 1.250 euro nel 2012  ed ulteriori rincari di 35 euro stimati nel 2013), con una incidenza di valore di  1.285 euro ed una percentuale del 199,6 %.</w:t>
      </w:r>
    </w:p>
    <w:p w:rsidR="00DB07E7" w:rsidRDefault="00DB07E7" w:rsidP="00DB07E7">
      <w:pPr>
        <w:ind w:left="-142" w:right="-285"/>
        <w:rPr>
          <w:b/>
          <w:bCs/>
          <w:color w:val="000000"/>
          <w:sz w:val="23"/>
          <w:szCs w:val="23"/>
        </w:rPr>
      </w:pPr>
      <w:r>
        <w:rPr>
          <w:b/>
          <w:bCs/>
          <w:color w:val="000000"/>
          <w:sz w:val="23"/>
          <w:szCs w:val="23"/>
        </w:rPr>
        <w:t> </w:t>
      </w:r>
    </w:p>
    <w:p w:rsidR="00DB07E7" w:rsidRDefault="00DB07E7" w:rsidP="00DB07E7">
      <w:pPr>
        <w:ind w:left="-142" w:right="-285"/>
        <w:rPr>
          <w:b/>
          <w:bCs/>
          <w:color w:val="000000"/>
          <w:sz w:val="23"/>
          <w:szCs w:val="23"/>
        </w:rPr>
      </w:pPr>
      <w:r>
        <w:rPr>
          <w:b/>
          <w:bCs/>
          <w:color w:val="000000"/>
          <w:sz w:val="23"/>
          <w:szCs w:val="23"/>
        </w:rPr>
        <w:t>COSTO MEDIO,IN EURO,POLIZZA RC AUTO, MEDIA CILINDRATA (MAX 1.800 C.C.)</w:t>
      </w:r>
    </w:p>
    <w:tbl>
      <w:tblPr>
        <w:tblW w:w="0" w:type="auto"/>
        <w:jc w:val="center"/>
        <w:tblInd w:w="1428" w:type="dxa"/>
        <w:tblCellMar>
          <w:left w:w="0" w:type="dxa"/>
          <w:right w:w="0" w:type="dxa"/>
        </w:tblCellMar>
        <w:tblLook w:val="04A0" w:firstRow="1" w:lastRow="0" w:firstColumn="1" w:lastColumn="0" w:noHBand="0" w:noVBand="1"/>
      </w:tblPr>
      <w:tblGrid>
        <w:gridCol w:w="1066"/>
        <w:gridCol w:w="2669"/>
        <w:gridCol w:w="2930"/>
      </w:tblGrid>
      <w:tr w:rsidR="00DB07E7" w:rsidTr="00DB07E7">
        <w:trPr>
          <w:jc w:val="center"/>
        </w:trPr>
        <w:tc>
          <w:tcPr>
            <w:tcW w:w="10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1994</w:t>
            </w:r>
          </w:p>
        </w:tc>
        <w:tc>
          <w:tcPr>
            <w:tcW w:w="26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700.000 £. (391 euro)</w:t>
            </w:r>
          </w:p>
        </w:tc>
        <w:tc>
          <w:tcPr>
            <w:tcW w:w="29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lang w:eastAsia="en-US"/>
              </w:rPr>
              <w:t> </w:t>
            </w:r>
          </w:p>
        </w:tc>
      </w:tr>
      <w:tr w:rsidR="00DB07E7" w:rsidTr="00DB07E7">
        <w:trPr>
          <w:jc w:val="center"/>
        </w:trPr>
        <w:tc>
          <w:tcPr>
            <w:tcW w:w="106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2006</w:t>
            </w:r>
          </w:p>
        </w:tc>
        <w:tc>
          <w:tcPr>
            <w:tcW w:w="2669" w:type="dxa"/>
            <w:tcBorders>
              <w:top w:val="nil"/>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868 Euro (+477 euro)</w:t>
            </w:r>
          </w:p>
        </w:tc>
        <w:tc>
          <w:tcPr>
            <w:tcW w:w="2930" w:type="dxa"/>
            <w:tcBorders>
              <w:top w:val="nil"/>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 xml:space="preserve">+ 140,5 % </w:t>
            </w:r>
          </w:p>
        </w:tc>
      </w:tr>
      <w:tr w:rsidR="00DB07E7" w:rsidTr="00DB07E7">
        <w:trPr>
          <w:jc w:val="center"/>
        </w:trPr>
        <w:tc>
          <w:tcPr>
            <w:tcW w:w="106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2008</w:t>
            </w:r>
          </w:p>
        </w:tc>
        <w:tc>
          <w:tcPr>
            <w:tcW w:w="2669" w:type="dxa"/>
            <w:tcBorders>
              <w:top w:val="nil"/>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903 Euro  (+ 35 euro)</w:t>
            </w:r>
          </w:p>
        </w:tc>
        <w:tc>
          <w:tcPr>
            <w:tcW w:w="2930" w:type="dxa"/>
            <w:tcBorders>
              <w:top w:val="nil"/>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 xml:space="preserve">+ 4,1% </w:t>
            </w:r>
          </w:p>
        </w:tc>
      </w:tr>
      <w:tr w:rsidR="00DB07E7" w:rsidTr="00DB07E7">
        <w:trPr>
          <w:jc w:val="center"/>
        </w:trPr>
        <w:tc>
          <w:tcPr>
            <w:tcW w:w="106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2012</w:t>
            </w:r>
          </w:p>
        </w:tc>
        <w:tc>
          <w:tcPr>
            <w:tcW w:w="2669" w:type="dxa"/>
            <w:tcBorders>
              <w:top w:val="nil"/>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 xml:space="preserve">948 Euro  (+ 45 Euro) </w:t>
            </w:r>
          </w:p>
        </w:tc>
        <w:tc>
          <w:tcPr>
            <w:tcW w:w="2930" w:type="dxa"/>
            <w:tcBorders>
              <w:top w:val="nil"/>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+ 5% (1994/2008 +149,6%)</w:t>
            </w:r>
          </w:p>
        </w:tc>
      </w:tr>
    </w:tbl>
    <w:p w:rsidR="00DB07E7" w:rsidRDefault="00DB07E7" w:rsidP="00DB07E7">
      <w:pPr>
        <w:pStyle w:val="Didascalia"/>
        <w:ind w:left="-142" w:right="-285"/>
        <w:rPr>
          <w:sz w:val="23"/>
          <w:szCs w:val="23"/>
        </w:rPr>
      </w:pPr>
      <w:r>
        <w:rPr>
          <w:sz w:val="23"/>
          <w:szCs w:val="23"/>
        </w:rPr>
        <w:t> </w:t>
      </w:r>
    </w:p>
    <w:p w:rsidR="00DB07E7" w:rsidRDefault="00DB07E7" w:rsidP="00DB07E7">
      <w:pPr>
        <w:pStyle w:val="Didascalia"/>
        <w:ind w:left="-142" w:right="-285"/>
        <w:jc w:val="both"/>
        <w:rPr>
          <w:b w:val="0"/>
          <w:bCs w:val="0"/>
          <w:color w:val="auto"/>
          <w:sz w:val="23"/>
          <w:szCs w:val="23"/>
        </w:rPr>
      </w:pPr>
      <w:r>
        <w:rPr>
          <w:b w:val="0"/>
          <w:bCs w:val="0"/>
          <w:color w:val="auto"/>
          <w:sz w:val="23"/>
          <w:szCs w:val="23"/>
        </w:rPr>
        <w:t xml:space="preserve">     Ancora peggiore la situazione che riguarda le polizze obbligatorie per assicurare moto e motorini sotto i 150 cc di cilindrata, con utenti letteralmente taglieggiati e che hanno subito impennate scandalose ed ingiustificate superiori al 400%, con costi medi passati da 98-121 euro (minimo e massimo) del 1994, a 435-555 Euro (minimo e massimo la stima del 2008), e con i costi RC moto che hanno subito l’impennata del 413,1 per cento ed un aumento secco di 337 </w:t>
      </w:r>
      <w:proofErr w:type="spellStart"/>
      <w:r>
        <w:rPr>
          <w:b w:val="0"/>
          <w:bCs w:val="0"/>
          <w:color w:val="auto"/>
          <w:sz w:val="23"/>
          <w:szCs w:val="23"/>
        </w:rPr>
        <w:t>euro,passando</w:t>
      </w:r>
      <w:proofErr w:type="spellEnd"/>
      <w:r>
        <w:rPr>
          <w:b w:val="0"/>
          <w:bCs w:val="0"/>
          <w:color w:val="auto"/>
          <w:sz w:val="23"/>
          <w:szCs w:val="23"/>
        </w:rPr>
        <w:t xml:space="preserve"> da 98 a 435 euro. </w:t>
      </w:r>
    </w:p>
    <w:p w:rsidR="00DB07E7" w:rsidRDefault="00DB07E7" w:rsidP="00DB07E7">
      <w:pPr>
        <w:ind w:left="-142" w:right="-285"/>
      </w:pPr>
      <w:r>
        <w:t> </w:t>
      </w:r>
    </w:p>
    <w:p w:rsidR="00DB07E7" w:rsidRDefault="00DB07E7" w:rsidP="00DB07E7">
      <w:pPr>
        <w:pStyle w:val="Didascalia"/>
        <w:ind w:left="-142" w:right="-285"/>
        <w:rPr>
          <w:sz w:val="23"/>
          <w:szCs w:val="23"/>
        </w:rPr>
      </w:pPr>
      <w:r>
        <w:rPr>
          <w:sz w:val="23"/>
          <w:szCs w:val="23"/>
        </w:rPr>
        <w:t>COSTO MEDIO IN EURO, POLIZZA RC MOTO,MOTORINI  FINO A CILINDRATA 150 C.C</w:t>
      </w:r>
    </w:p>
    <w:tbl>
      <w:tblPr>
        <w:tblW w:w="0" w:type="auto"/>
        <w:jc w:val="center"/>
        <w:tblInd w:w="1428" w:type="dxa"/>
        <w:tblCellMar>
          <w:left w:w="0" w:type="dxa"/>
          <w:right w:w="0" w:type="dxa"/>
        </w:tblCellMar>
        <w:tblLook w:val="04A0" w:firstRow="1" w:lastRow="0" w:firstColumn="1" w:lastColumn="0" w:noHBand="0" w:noVBand="1"/>
      </w:tblPr>
      <w:tblGrid>
        <w:gridCol w:w="696"/>
        <w:gridCol w:w="4129"/>
        <w:gridCol w:w="2338"/>
      </w:tblGrid>
      <w:tr w:rsidR="00DB07E7" w:rsidTr="00DB07E7">
        <w:trPr>
          <w:jc w:val="center"/>
        </w:trPr>
        <w:tc>
          <w:tcPr>
            <w:tcW w:w="6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1994</w:t>
            </w:r>
          </w:p>
        </w:tc>
        <w:tc>
          <w:tcPr>
            <w:tcW w:w="412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190.000-235.000 lire.=(98 -121 euro)</w:t>
            </w:r>
          </w:p>
        </w:tc>
        <w:tc>
          <w:tcPr>
            <w:tcW w:w="233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1994-2004 + 413,1%</w:t>
            </w:r>
          </w:p>
        </w:tc>
      </w:tr>
      <w:tr w:rsidR="00DB07E7" w:rsidTr="00DB07E7">
        <w:trPr>
          <w:jc w:val="center"/>
        </w:trPr>
        <w:tc>
          <w:tcPr>
            <w:tcW w:w="6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2006</w:t>
            </w:r>
          </w:p>
        </w:tc>
        <w:tc>
          <w:tcPr>
            <w:tcW w:w="4129" w:type="dxa"/>
            <w:tcBorders>
              <w:top w:val="nil"/>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395-490 Euro (+297/369 Euro)</w:t>
            </w:r>
          </w:p>
        </w:tc>
        <w:tc>
          <w:tcPr>
            <w:tcW w:w="2338" w:type="dxa"/>
            <w:tcBorders>
              <w:top w:val="nil"/>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 xml:space="preserve">+ 403 / 405 % </w:t>
            </w:r>
          </w:p>
        </w:tc>
      </w:tr>
      <w:tr w:rsidR="00DB07E7" w:rsidTr="00DB07E7">
        <w:trPr>
          <w:jc w:val="center"/>
        </w:trPr>
        <w:tc>
          <w:tcPr>
            <w:tcW w:w="6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2007</w:t>
            </w:r>
          </w:p>
        </w:tc>
        <w:tc>
          <w:tcPr>
            <w:tcW w:w="4129" w:type="dxa"/>
            <w:tcBorders>
              <w:top w:val="nil"/>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405-510 Euro (+ 10- 20  Euro)</w:t>
            </w:r>
          </w:p>
        </w:tc>
        <w:tc>
          <w:tcPr>
            <w:tcW w:w="2338" w:type="dxa"/>
            <w:tcBorders>
              <w:top w:val="nil"/>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+ 2,6 / 4,1 %</w:t>
            </w:r>
          </w:p>
        </w:tc>
      </w:tr>
      <w:tr w:rsidR="00DB07E7" w:rsidTr="00DB07E7">
        <w:trPr>
          <w:jc w:val="center"/>
        </w:trPr>
        <w:tc>
          <w:tcPr>
            <w:tcW w:w="6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2008</w:t>
            </w:r>
          </w:p>
        </w:tc>
        <w:tc>
          <w:tcPr>
            <w:tcW w:w="4129" w:type="dxa"/>
            <w:tcBorders>
              <w:top w:val="nil"/>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435-555 Euro (+ 30-45 Euro)</w:t>
            </w:r>
          </w:p>
        </w:tc>
        <w:tc>
          <w:tcPr>
            <w:tcW w:w="2338" w:type="dxa"/>
            <w:tcBorders>
              <w:top w:val="nil"/>
              <w:left w:val="nil"/>
              <w:bottom w:val="single" w:sz="8" w:space="0" w:color="auto"/>
              <w:right w:val="single" w:sz="8" w:space="0" w:color="auto"/>
            </w:tcBorders>
            <w:tcMar>
              <w:top w:w="0" w:type="dxa"/>
              <w:left w:w="108" w:type="dxa"/>
              <w:bottom w:w="0" w:type="dxa"/>
              <w:right w:w="108" w:type="dxa"/>
            </w:tcMar>
            <w:hideMark/>
          </w:tcPr>
          <w:p w:rsidR="00DB07E7" w:rsidRDefault="00DB07E7" w:rsidP="00DB07E7">
            <w:pPr>
              <w:spacing w:line="276" w:lineRule="auto"/>
              <w:ind w:left="-142" w:right="-285"/>
              <w:jc w:val="both"/>
              <w:rPr>
                <w:color w:val="000000"/>
                <w:lang w:eastAsia="en-US"/>
              </w:rPr>
            </w:pPr>
            <w:r>
              <w:rPr>
                <w:color w:val="000000"/>
                <w:lang w:eastAsia="en-US"/>
              </w:rPr>
              <w:t>+ 7,5 / 8,8%)</w:t>
            </w:r>
          </w:p>
        </w:tc>
      </w:tr>
    </w:tbl>
    <w:p w:rsidR="00DB07E7" w:rsidRDefault="00DB07E7" w:rsidP="00DB07E7">
      <w:pPr>
        <w:ind w:left="-142" w:right="-285"/>
        <w:rPr>
          <w:color w:val="000000"/>
        </w:rPr>
      </w:pPr>
      <w:r>
        <w:rPr>
          <w:color w:val="000000"/>
        </w:rPr>
        <w:t> </w:t>
      </w:r>
    </w:p>
    <w:p w:rsidR="00DB07E7" w:rsidRDefault="00DB07E7" w:rsidP="00DB07E7">
      <w:pPr>
        <w:ind w:left="-142" w:right="-285"/>
        <w:jc w:val="both"/>
        <w:rPr>
          <w:color w:val="000000"/>
        </w:rPr>
      </w:pPr>
      <w:r>
        <w:rPr>
          <w:color w:val="000000"/>
        </w:rPr>
        <w:t xml:space="preserve">    Nonostante la minore incidentalità, la patente a punti, l’indennizzo diretto, non esiste alcuna speranza di invertire la lievitazione spaventosa delle polizze RC auto, che anche nel 2008, continueranno la loro sfrenata corsa con un + 5 % (+ 45 euro), mentre le polizze dei motorini subiranno un salasso del 7,5% (+30 euro), con le imprese assicurative colluse con il Governo, che hanno rafforzato il loro dominio con la federazione </w:t>
      </w:r>
      <w:proofErr w:type="spellStart"/>
      <w:r>
        <w:rPr>
          <w:color w:val="000000"/>
        </w:rPr>
        <w:t>Ania-Abi</w:t>
      </w:r>
      <w:proofErr w:type="spellEnd"/>
      <w:r>
        <w:rPr>
          <w:color w:val="000000"/>
        </w:rPr>
        <w:t xml:space="preserve">, per poter controllare anche i mass media e far apparire che i consumatori che denunciano i </w:t>
      </w:r>
      <w:proofErr w:type="spellStart"/>
      <w:r>
        <w:rPr>
          <w:color w:val="000000"/>
        </w:rPr>
        <w:t>rincari,possano</w:t>
      </w:r>
      <w:proofErr w:type="spellEnd"/>
      <w:r>
        <w:rPr>
          <w:color w:val="000000"/>
        </w:rPr>
        <w:t xml:space="preserve"> avere le traveggole.</w:t>
      </w:r>
    </w:p>
    <w:p w:rsidR="00DB07E7" w:rsidRDefault="00DB07E7" w:rsidP="00DB07E7">
      <w:pPr>
        <w:ind w:left="-142" w:right="-285"/>
        <w:jc w:val="both"/>
        <w:rPr>
          <w:color w:val="000000"/>
        </w:rPr>
      </w:pPr>
      <w:r>
        <w:rPr>
          <w:color w:val="000000"/>
        </w:rPr>
        <w:t xml:space="preserve">    Sono scandalose le lettere che molti utenti stanno ricevendo in questi giorni, a giustificazione dei salassi del 10-15% per assicurati che non hanno denunciato alcun sinistro, </w:t>
      </w:r>
      <w:proofErr w:type="spellStart"/>
      <w:r>
        <w:rPr>
          <w:color w:val="000000"/>
        </w:rPr>
        <w:t>che:”deriverebbero</w:t>
      </w:r>
      <w:proofErr w:type="spellEnd"/>
      <w:r>
        <w:rPr>
          <w:color w:val="000000"/>
        </w:rPr>
        <w:t xml:space="preserve"> dai maggiori costi dell’indennizzo diretto”, che come è noto fa risparmiare oneri al sistema tra 1,5 e 2 miliardi di euro l’anno. Adusbef e Federconsumatori invitano il Governo  a braccetto con banche ed assicurazioni, per fra traslare i maggiori oneri sulle spalle di milioni di consumatori, a porre fine ad una speculazione assurda ed illegale.</w:t>
      </w:r>
    </w:p>
    <w:p w:rsidR="00DB07E7" w:rsidRDefault="00DB07E7" w:rsidP="00DB07E7">
      <w:pPr>
        <w:ind w:left="-142" w:right="-285"/>
        <w:jc w:val="both"/>
        <w:rPr>
          <w:color w:val="000000"/>
        </w:rPr>
      </w:pPr>
      <w:r>
        <w:rPr>
          <w:color w:val="000000"/>
        </w:rPr>
        <w:t> </w:t>
      </w:r>
    </w:p>
    <w:p w:rsidR="00DB07E7" w:rsidRDefault="00DB07E7" w:rsidP="00DB07E7">
      <w:pPr>
        <w:ind w:left="-142" w:right="-285"/>
        <w:jc w:val="both"/>
        <w:rPr>
          <w:color w:val="000000"/>
        </w:rPr>
      </w:pPr>
      <w:r>
        <w:rPr>
          <w:color w:val="000000"/>
        </w:rPr>
        <w:t xml:space="preserve">                                                         Elio Lannutti (Adusbef) – Rosario </w:t>
      </w:r>
      <w:proofErr w:type="spellStart"/>
      <w:r>
        <w:rPr>
          <w:color w:val="000000"/>
        </w:rPr>
        <w:t>Trefiletti</w:t>
      </w:r>
      <w:proofErr w:type="spellEnd"/>
      <w:r>
        <w:rPr>
          <w:color w:val="000000"/>
        </w:rPr>
        <w:t xml:space="preserve"> (Federconsumatori)</w:t>
      </w:r>
    </w:p>
    <w:p w:rsidR="00DB07E7" w:rsidRDefault="00DB07E7" w:rsidP="00DB07E7">
      <w:pPr>
        <w:ind w:left="-142" w:right="-285"/>
        <w:jc w:val="both"/>
      </w:pPr>
      <w:r>
        <w:rPr>
          <w:color w:val="000000"/>
        </w:rPr>
        <w:t>Roma,2</w:t>
      </w:r>
      <w:r>
        <w:rPr>
          <w:color w:val="000000"/>
        </w:rPr>
        <w:t>5</w:t>
      </w:r>
      <w:r>
        <w:rPr>
          <w:color w:val="000000"/>
        </w:rPr>
        <w:t>.05.2013</w:t>
      </w:r>
    </w:p>
    <w:bookmarkEnd w:id="0"/>
    <w:p w:rsidR="00C200C3" w:rsidRDefault="00C200C3" w:rsidP="00DB07E7">
      <w:pPr>
        <w:ind w:left="-142" w:right="-285"/>
      </w:pPr>
    </w:p>
    <w:sectPr w:rsidR="00C200C3" w:rsidSect="00DB07E7">
      <w:pgSz w:w="11906" w:h="16838"/>
      <w:pgMar w:top="1417" w:right="849"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7E7"/>
    <w:rsid w:val="00130235"/>
    <w:rsid w:val="001A3C40"/>
    <w:rsid w:val="002E4C34"/>
    <w:rsid w:val="00370059"/>
    <w:rsid w:val="004F322C"/>
    <w:rsid w:val="005F3BF0"/>
    <w:rsid w:val="00632BCB"/>
    <w:rsid w:val="007339EC"/>
    <w:rsid w:val="00754201"/>
    <w:rsid w:val="00873879"/>
    <w:rsid w:val="0094402A"/>
    <w:rsid w:val="009B4EA1"/>
    <w:rsid w:val="00A42182"/>
    <w:rsid w:val="00B35AE5"/>
    <w:rsid w:val="00B90F78"/>
    <w:rsid w:val="00C200C3"/>
    <w:rsid w:val="00C55771"/>
    <w:rsid w:val="00C76E16"/>
    <w:rsid w:val="00D07FAE"/>
    <w:rsid w:val="00D709E1"/>
    <w:rsid w:val="00DB07E7"/>
    <w:rsid w:val="00DB5BBF"/>
    <w:rsid w:val="00E612FB"/>
    <w:rsid w:val="00EE7D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B07E7"/>
    <w:pPr>
      <w:spacing w:afterAutospacing="0"/>
    </w:pPr>
    <w:rPr>
      <w:rFonts w:ascii="Times New Roman" w:eastAsiaTheme="minorHAnsi" w:hAnsi="Times New Roman"/>
      <w:bCs w:val="0"/>
      <w:iCs w:val="0"/>
      <w:kern w:val="0"/>
      <w:sz w:val="24"/>
      <w:szCs w:val="24"/>
      <w:lang w:eastAsia="it-IT"/>
    </w:rPr>
  </w:style>
  <w:style w:type="paragraph" w:styleId="Titolo1">
    <w:name w:val="heading 1"/>
    <w:basedOn w:val="Normale"/>
    <w:link w:val="Titolo1Carattere"/>
    <w:uiPriority w:val="9"/>
    <w:qFormat/>
    <w:rsid w:val="00130235"/>
    <w:pPr>
      <w:keepNext/>
      <w:spacing w:before="240" w:after="60" w:afterAutospacing="1"/>
      <w:ind w:left="480" w:right="34"/>
      <w:outlineLvl w:val="0"/>
    </w:pPr>
    <w:rPr>
      <w:rFonts w:ascii="Century Gothic" w:eastAsia="Times New Roman" w:hAnsi="Century Gothic" w:cs="Century Gothic"/>
      <w:b/>
      <w:iCs/>
      <w:kern w:val="36"/>
      <w:sz w:val="32"/>
      <w:szCs w:val="32"/>
    </w:rPr>
  </w:style>
  <w:style w:type="paragraph" w:styleId="Titolo2">
    <w:name w:val="heading 2"/>
    <w:basedOn w:val="Normale"/>
    <w:link w:val="Titolo2Carattere"/>
    <w:qFormat/>
    <w:rsid w:val="00130235"/>
    <w:pPr>
      <w:keepNext/>
      <w:spacing w:before="240" w:after="60" w:afterAutospacing="1"/>
      <w:jc w:val="center"/>
      <w:outlineLvl w:val="1"/>
    </w:pPr>
    <w:rPr>
      <w:rFonts w:ascii="Century Gothic" w:eastAsia="Times New Roman" w:hAnsi="Century Gothic" w:cs="Century Gothic"/>
      <w:bCs/>
      <w:iCs/>
      <w:kern w:val="36"/>
    </w:rPr>
  </w:style>
  <w:style w:type="paragraph" w:styleId="Titolo3">
    <w:name w:val="heading 3"/>
    <w:basedOn w:val="Normale"/>
    <w:link w:val="Titolo3Carattere"/>
    <w:uiPriority w:val="9"/>
    <w:qFormat/>
    <w:rsid w:val="00130235"/>
    <w:pPr>
      <w:keepNext/>
      <w:spacing w:before="240" w:after="60" w:afterAutospacing="1"/>
      <w:outlineLvl w:val="2"/>
    </w:pPr>
    <w:rPr>
      <w:rFonts w:ascii="Century Gothic" w:eastAsia="Times New Roman" w:hAnsi="Century Gothic" w:cs="Century Gothic"/>
      <w:b/>
      <w:iCs/>
      <w:kern w:val="36"/>
      <w:sz w:val="22"/>
      <w:szCs w:val="22"/>
    </w:rPr>
  </w:style>
  <w:style w:type="paragraph" w:styleId="Titolo4">
    <w:name w:val="heading 4"/>
    <w:basedOn w:val="Normale"/>
    <w:link w:val="Titolo4Carattere"/>
    <w:uiPriority w:val="9"/>
    <w:qFormat/>
    <w:rsid w:val="00130235"/>
    <w:pPr>
      <w:keepNext/>
      <w:spacing w:before="240" w:after="60" w:afterAutospacing="1"/>
      <w:outlineLvl w:val="3"/>
    </w:pPr>
    <w:rPr>
      <w:rFonts w:eastAsia="Times New Roman"/>
      <w:b/>
      <w:iCs/>
      <w:kern w:val="36"/>
      <w:sz w:val="28"/>
      <w:szCs w:val="28"/>
    </w:rPr>
  </w:style>
  <w:style w:type="paragraph" w:styleId="Titolo6">
    <w:name w:val="heading 6"/>
    <w:basedOn w:val="Normale"/>
    <w:link w:val="Titolo6Carattere"/>
    <w:uiPriority w:val="9"/>
    <w:qFormat/>
    <w:rsid w:val="00130235"/>
    <w:pPr>
      <w:spacing w:before="240" w:after="60" w:afterAutospacing="1"/>
      <w:outlineLvl w:val="5"/>
    </w:pPr>
    <w:rPr>
      <w:rFonts w:eastAsia="Times New Roman"/>
      <w:b/>
      <w:iCs/>
      <w:kern w:val="36"/>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afterAutospacing="1"/>
      <w:jc w:val="center"/>
    </w:pPr>
    <w:rPr>
      <w:rFonts w:ascii="Arial" w:eastAsia="Times New Roman" w:hAnsi="Arial" w:cs="Arial"/>
      <w:b/>
      <w:iCs/>
      <w:kern w:val="36"/>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Autospacing="1"/>
      <w:ind w:left="600"/>
    </w:pPr>
    <w:rPr>
      <w:rFonts w:asciiTheme="majorHAnsi" w:eastAsiaTheme="majorEastAsia" w:hAnsiTheme="majorHAnsi" w:cstheme="majorBidi"/>
      <w:bCs/>
      <w:i/>
      <w:color w:val="4F81BD" w:themeColor="accent1"/>
      <w:spacing w:val="15"/>
      <w:kern w:val="36"/>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76" w:lineRule="auto"/>
      <w:ind w:left="170" w:right="-39"/>
      <w:jc w:val="both"/>
    </w:pPr>
    <w:rPr>
      <w:rFonts w:cs="Century Gothic"/>
      <w:sz w:val="22"/>
      <w:szCs w:val="22"/>
      <w:lang w:eastAsia="en-US"/>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spacing w:afterAutospacing="1"/>
      <w:ind w:left="720"/>
    </w:pPr>
    <w:rPr>
      <w:rFonts w:ascii="Century Gothic" w:eastAsia="Times New Roman" w:hAnsi="Century Gothic"/>
      <w:bCs/>
      <w:iCs/>
      <w:kern w:val="36"/>
    </w:r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sz w:val="22"/>
      <w:szCs w:val="22"/>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Autospacing="1"/>
      <w:ind w:right="-2"/>
      <w:jc w:val="both"/>
    </w:pPr>
    <w:rPr>
      <w:rFonts w:ascii="Century Gothic" w:eastAsia="Times New Roman" w:hAnsi="Century Gothic"/>
      <w:bCs/>
      <w:iCs/>
      <w:kern w:val="36"/>
    </w:rPr>
  </w:style>
  <w:style w:type="paragraph" w:styleId="Sommario3">
    <w:name w:val="toc 3"/>
    <w:basedOn w:val="Normale"/>
    <w:autoRedefine/>
    <w:uiPriority w:val="39"/>
    <w:semiHidden/>
    <w:unhideWhenUsed/>
    <w:rsid w:val="00130235"/>
    <w:pPr>
      <w:spacing w:afterAutospacing="1"/>
      <w:ind w:left="440"/>
    </w:pPr>
    <w:rPr>
      <w:rFonts w:eastAsia="Times New Roman"/>
      <w:bCs/>
      <w:iCs/>
      <w:kern w:val="36"/>
      <w:sz w:val="22"/>
      <w:szCs w:val="22"/>
    </w:rPr>
  </w:style>
  <w:style w:type="paragraph" w:styleId="Testonotaapidipagina">
    <w:name w:val="footnote text"/>
    <w:basedOn w:val="Normale"/>
    <w:link w:val="TestonotaapidipaginaCarattere"/>
    <w:uiPriority w:val="99"/>
    <w:semiHidden/>
    <w:unhideWhenUsed/>
    <w:rsid w:val="00130235"/>
    <w:pPr>
      <w:spacing w:afterAutospacing="1"/>
    </w:pPr>
    <w:rPr>
      <w:rFonts w:eastAsia="Times New Roman"/>
      <w:bCs/>
      <w:iCs/>
      <w:kern w:val="36"/>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Autospacing="1"/>
    </w:pPr>
    <w:rPr>
      <w:rFonts w:eastAsia="Times New Roman"/>
      <w:bCs/>
      <w:iCs/>
      <w:kern w:val="36"/>
      <w:sz w:val="22"/>
      <w:szCs w:val="22"/>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Autospacing="1"/>
    </w:pPr>
    <w:rPr>
      <w:rFonts w:eastAsia="Times New Roman"/>
      <w:bCs/>
      <w:iCs/>
      <w:kern w:val="36"/>
      <w:sz w:val="22"/>
      <w:szCs w:val="22"/>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Autospacing="1"/>
    </w:pPr>
    <w:rPr>
      <w:rFonts w:ascii="Century Gothic" w:eastAsia="Times New Roman" w:hAnsi="Century Gothic"/>
      <w:bCs/>
      <w:iCs/>
      <w:kern w:val="36"/>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Autospacing="1"/>
      <w:ind w:left="480"/>
    </w:pPr>
    <w:rPr>
      <w:rFonts w:ascii="Century Gothic" w:eastAsia="Times New Roman" w:hAnsi="Century Gothic"/>
      <w:bCs/>
      <w:iCs/>
      <w:color w:val="FF0000"/>
      <w:kern w:val="36"/>
      <w:sz w:val="18"/>
      <w:szCs w:val="18"/>
    </w:rPr>
  </w:style>
  <w:style w:type="paragraph" w:styleId="Testonormale">
    <w:name w:val="Plain Text"/>
    <w:basedOn w:val="Normale"/>
    <w:link w:val="TestonormaleCarattere"/>
    <w:uiPriority w:val="99"/>
    <w:semiHidden/>
    <w:unhideWhenUsed/>
    <w:rsid w:val="00130235"/>
    <w:pPr>
      <w:spacing w:afterAutospacing="1"/>
    </w:pPr>
    <w:rPr>
      <w:rFonts w:ascii="Calibri" w:eastAsia="Times New Roman" w:hAnsi="Calibri"/>
      <w:bCs/>
      <w:iCs/>
      <w:kern w:val="36"/>
      <w:sz w:val="22"/>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Autospacing="1"/>
    </w:pPr>
    <w:rPr>
      <w:rFonts w:ascii="Tahoma" w:eastAsia="Times New Roman" w:hAnsi="Tahoma" w:cs="Tahoma"/>
      <w:bCs/>
      <w:iCs/>
      <w:kern w:val="36"/>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Autospacing="1"/>
      <w:ind w:left="2160"/>
      <w:jc w:val="both"/>
    </w:pPr>
    <w:rPr>
      <w:rFonts w:ascii="Century Gothic" w:eastAsia="Times New Roman" w:hAnsi="Century Gothic"/>
      <w:bCs/>
      <w:iCs/>
      <w:color w:val="0F243E"/>
      <w:kern w:val="36"/>
    </w:rPr>
  </w:style>
  <w:style w:type="paragraph" w:styleId="Paragrafoelenco">
    <w:name w:val="List Paragraph"/>
    <w:basedOn w:val="Normale"/>
    <w:uiPriority w:val="34"/>
    <w:qFormat/>
    <w:rsid w:val="00130235"/>
    <w:pPr>
      <w:spacing w:afterAutospacing="1"/>
      <w:ind w:left="720"/>
    </w:pPr>
    <w:rPr>
      <w:rFonts w:ascii="Century Gothic" w:eastAsia="Times New Roman" w:hAnsi="Century Gothic"/>
      <w:bCs/>
      <w:iCs/>
      <w:kern w:val="36"/>
    </w:rPr>
  </w:style>
  <w:style w:type="paragraph" w:styleId="Didascalia">
    <w:name w:val="caption"/>
    <w:basedOn w:val="Normale"/>
    <w:uiPriority w:val="35"/>
    <w:semiHidden/>
    <w:unhideWhenUsed/>
    <w:qFormat/>
    <w:rsid w:val="00DB07E7"/>
    <w:pPr>
      <w:jc w:val="center"/>
    </w:pPr>
    <w:rPr>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B07E7"/>
    <w:pPr>
      <w:spacing w:afterAutospacing="0"/>
    </w:pPr>
    <w:rPr>
      <w:rFonts w:ascii="Times New Roman" w:eastAsiaTheme="minorHAnsi" w:hAnsi="Times New Roman"/>
      <w:bCs w:val="0"/>
      <w:iCs w:val="0"/>
      <w:kern w:val="0"/>
      <w:sz w:val="24"/>
      <w:szCs w:val="24"/>
      <w:lang w:eastAsia="it-IT"/>
    </w:rPr>
  </w:style>
  <w:style w:type="paragraph" w:styleId="Titolo1">
    <w:name w:val="heading 1"/>
    <w:basedOn w:val="Normale"/>
    <w:link w:val="Titolo1Carattere"/>
    <w:uiPriority w:val="9"/>
    <w:qFormat/>
    <w:rsid w:val="00130235"/>
    <w:pPr>
      <w:keepNext/>
      <w:spacing w:before="240" w:after="60" w:afterAutospacing="1"/>
      <w:ind w:left="480" w:right="34"/>
      <w:outlineLvl w:val="0"/>
    </w:pPr>
    <w:rPr>
      <w:rFonts w:ascii="Century Gothic" w:eastAsia="Times New Roman" w:hAnsi="Century Gothic" w:cs="Century Gothic"/>
      <w:b/>
      <w:iCs/>
      <w:kern w:val="36"/>
      <w:sz w:val="32"/>
      <w:szCs w:val="32"/>
    </w:rPr>
  </w:style>
  <w:style w:type="paragraph" w:styleId="Titolo2">
    <w:name w:val="heading 2"/>
    <w:basedOn w:val="Normale"/>
    <w:link w:val="Titolo2Carattere"/>
    <w:qFormat/>
    <w:rsid w:val="00130235"/>
    <w:pPr>
      <w:keepNext/>
      <w:spacing w:before="240" w:after="60" w:afterAutospacing="1"/>
      <w:jc w:val="center"/>
      <w:outlineLvl w:val="1"/>
    </w:pPr>
    <w:rPr>
      <w:rFonts w:ascii="Century Gothic" w:eastAsia="Times New Roman" w:hAnsi="Century Gothic" w:cs="Century Gothic"/>
      <w:bCs/>
      <w:iCs/>
      <w:kern w:val="36"/>
    </w:rPr>
  </w:style>
  <w:style w:type="paragraph" w:styleId="Titolo3">
    <w:name w:val="heading 3"/>
    <w:basedOn w:val="Normale"/>
    <w:link w:val="Titolo3Carattere"/>
    <w:uiPriority w:val="9"/>
    <w:qFormat/>
    <w:rsid w:val="00130235"/>
    <w:pPr>
      <w:keepNext/>
      <w:spacing w:before="240" w:after="60" w:afterAutospacing="1"/>
      <w:outlineLvl w:val="2"/>
    </w:pPr>
    <w:rPr>
      <w:rFonts w:ascii="Century Gothic" w:eastAsia="Times New Roman" w:hAnsi="Century Gothic" w:cs="Century Gothic"/>
      <w:b/>
      <w:iCs/>
      <w:kern w:val="36"/>
      <w:sz w:val="22"/>
      <w:szCs w:val="22"/>
    </w:rPr>
  </w:style>
  <w:style w:type="paragraph" w:styleId="Titolo4">
    <w:name w:val="heading 4"/>
    <w:basedOn w:val="Normale"/>
    <w:link w:val="Titolo4Carattere"/>
    <w:uiPriority w:val="9"/>
    <w:qFormat/>
    <w:rsid w:val="00130235"/>
    <w:pPr>
      <w:keepNext/>
      <w:spacing w:before="240" w:after="60" w:afterAutospacing="1"/>
      <w:outlineLvl w:val="3"/>
    </w:pPr>
    <w:rPr>
      <w:rFonts w:eastAsia="Times New Roman"/>
      <w:b/>
      <w:iCs/>
      <w:kern w:val="36"/>
      <w:sz w:val="28"/>
      <w:szCs w:val="28"/>
    </w:rPr>
  </w:style>
  <w:style w:type="paragraph" w:styleId="Titolo6">
    <w:name w:val="heading 6"/>
    <w:basedOn w:val="Normale"/>
    <w:link w:val="Titolo6Carattere"/>
    <w:uiPriority w:val="9"/>
    <w:qFormat/>
    <w:rsid w:val="00130235"/>
    <w:pPr>
      <w:spacing w:before="240" w:after="60" w:afterAutospacing="1"/>
      <w:outlineLvl w:val="5"/>
    </w:pPr>
    <w:rPr>
      <w:rFonts w:eastAsia="Times New Roman"/>
      <w:b/>
      <w:iCs/>
      <w:kern w:val="36"/>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afterAutospacing="1"/>
      <w:jc w:val="center"/>
    </w:pPr>
    <w:rPr>
      <w:rFonts w:ascii="Arial" w:eastAsia="Times New Roman" w:hAnsi="Arial" w:cs="Arial"/>
      <w:b/>
      <w:iCs/>
      <w:kern w:val="36"/>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Autospacing="1"/>
      <w:ind w:left="600"/>
    </w:pPr>
    <w:rPr>
      <w:rFonts w:asciiTheme="majorHAnsi" w:eastAsiaTheme="majorEastAsia" w:hAnsiTheme="majorHAnsi" w:cstheme="majorBidi"/>
      <w:bCs/>
      <w:i/>
      <w:color w:val="4F81BD" w:themeColor="accent1"/>
      <w:spacing w:val="15"/>
      <w:kern w:val="36"/>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76" w:lineRule="auto"/>
      <w:ind w:left="170" w:right="-39"/>
      <w:jc w:val="both"/>
    </w:pPr>
    <w:rPr>
      <w:rFonts w:cs="Century Gothic"/>
      <w:sz w:val="22"/>
      <w:szCs w:val="22"/>
      <w:lang w:eastAsia="en-US"/>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spacing w:afterAutospacing="1"/>
      <w:ind w:left="720"/>
    </w:pPr>
    <w:rPr>
      <w:rFonts w:ascii="Century Gothic" w:eastAsia="Times New Roman" w:hAnsi="Century Gothic"/>
      <w:bCs/>
      <w:iCs/>
      <w:kern w:val="36"/>
    </w:r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sz w:val="22"/>
      <w:szCs w:val="22"/>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Autospacing="1"/>
      <w:ind w:right="-2"/>
      <w:jc w:val="both"/>
    </w:pPr>
    <w:rPr>
      <w:rFonts w:ascii="Century Gothic" w:eastAsia="Times New Roman" w:hAnsi="Century Gothic"/>
      <w:bCs/>
      <w:iCs/>
      <w:kern w:val="36"/>
    </w:rPr>
  </w:style>
  <w:style w:type="paragraph" w:styleId="Sommario3">
    <w:name w:val="toc 3"/>
    <w:basedOn w:val="Normale"/>
    <w:autoRedefine/>
    <w:uiPriority w:val="39"/>
    <w:semiHidden/>
    <w:unhideWhenUsed/>
    <w:rsid w:val="00130235"/>
    <w:pPr>
      <w:spacing w:afterAutospacing="1"/>
      <w:ind w:left="440"/>
    </w:pPr>
    <w:rPr>
      <w:rFonts w:eastAsia="Times New Roman"/>
      <w:bCs/>
      <w:iCs/>
      <w:kern w:val="36"/>
      <w:sz w:val="22"/>
      <w:szCs w:val="22"/>
    </w:rPr>
  </w:style>
  <w:style w:type="paragraph" w:styleId="Testonotaapidipagina">
    <w:name w:val="footnote text"/>
    <w:basedOn w:val="Normale"/>
    <w:link w:val="TestonotaapidipaginaCarattere"/>
    <w:uiPriority w:val="99"/>
    <w:semiHidden/>
    <w:unhideWhenUsed/>
    <w:rsid w:val="00130235"/>
    <w:pPr>
      <w:spacing w:afterAutospacing="1"/>
    </w:pPr>
    <w:rPr>
      <w:rFonts w:eastAsia="Times New Roman"/>
      <w:bCs/>
      <w:iCs/>
      <w:kern w:val="36"/>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Autospacing="1"/>
    </w:pPr>
    <w:rPr>
      <w:rFonts w:eastAsia="Times New Roman"/>
      <w:bCs/>
      <w:iCs/>
      <w:kern w:val="36"/>
      <w:sz w:val="22"/>
      <w:szCs w:val="22"/>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Autospacing="1"/>
    </w:pPr>
    <w:rPr>
      <w:rFonts w:eastAsia="Times New Roman"/>
      <w:bCs/>
      <w:iCs/>
      <w:kern w:val="36"/>
      <w:sz w:val="22"/>
      <w:szCs w:val="22"/>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Autospacing="1"/>
    </w:pPr>
    <w:rPr>
      <w:rFonts w:ascii="Century Gothic" w:eastAsia="Times New Roman" w:hAnsi="Century Gothic"/>
      <w:bCs/>
      <w:iCs/>
      <w:kern w:val="36"/>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Autospacing="1"/>
      <w:ind w:left="480"/>
    </w:pPr>
    <w:rPr>
      <w:rFonts w:ascii="Century Gothic" w:eastAsia="Times New Roman" w:hAnsi="Century Gothic"/>
      <w:bCs/>
      <w:iCs/>
      <w:color w:val="FF0000"/>
      <w:kern w:val="36"/>
      <w:sz w:val="18"/>
      <w:szCs w:val="18"/>
    </w:rPr>
  </w:style>
  <w:style w:type="paragraph" w:styleId="Testonormale">
    <w:name w:val="Plain Text"/>
    <w:basedOn w:val="Normale"/>
    <w:link w:val="TestonormaleCarattere"/>
    <w:uiPriority w:val="99"/>
    <w:semiHidden/>
    <w:unhideWhenUsed/>
    <w:rsid w:val="00130235"/>
    <w:pPr>
      <w:spacing w:afterAutospacing="1"/>
    </w:pPr>
    <w:rPr>
      <w:rFonts w:ascii="Calibri" w:eastAsia="Times New Roman" w:hAnsi="Calibri"/>
      <w:bCs/>
      <w:iCs/>
      <w:kern w:val="36"/>
      <w:sz w:val="22"/>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Autospacing="1"/>
    </w:pPr>
    <w:rPr>
      <w:rFonts w:ascii="Tahoma" w:eastAsia="Times New Roman" w:hAnsi="Tahoma" w:cs="Tahoma"/>
      <w:bCs/>
      <w:iCs/>
      <w:kern w:val="36"/>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Autospacing="1"/>
      <w:ind w:left="2160"/>
      <w:jc w:val="both"/>
    </w:pPr>
    <w:rPr>
      <w:rFonts w:ascii="Century Gothic" w:eastAsia="Times New Roman" w:hAnsi="Century Gothic"/>
      <w:bCs/>
      <w:iCs/>
      <w:color w:val="0F243E"/>
      <w:kern w:val="36"/>
    </w:rPr>
  </w:style>
  <w:style w:type="paragraph" w:styleId="Paragrafoelenco">
    <w:name w:val="List Paragraph"/>
    <w:basedOn w:val="Normale"/>
    <w:uiPriority w:val="34"/>
    <w:qFormat/>
    <w:rsid w:val="00130235"/>
    <w:pPr>
      <w:spacing w:afterAutospacing="1"/>
      <w:ind w:left="720"/>
    </w:pPr>
    <w:rPr>
      <w:rFonts w:ascii="Century Gothic" w:eastAsia="Times New Roman" w:hAnsi="Century Gothic"/>
      <w:bCs/>
      <w:iCs/>
      <w:kern w:val="36"/>
    </w:rPr>
  </w:style>
  <w:style w:type="paragraph" w:styleId="Didascalia">
    <w:name w:val="caption"/>
    <w:basedOn w:val="Normale"/>
    <w:uiPriority w:val="35"/>
    <w:semiHidden/>
    <w:unhideWhenUsed/>
    <w:qFormat/>
    <w:rsid w:val="00DB07E7"/>
    <w:pPr>
      <w:jc w:val="center"/>
    </w:pPr>
    <w:rPr>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2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550</Words>
  <Characters>3139</Characters>
  <Application>Microsoft Office Word</Application>
  <DocSecurity>0</DocSecurity>
  <Lines>26</Lines>
  <Paragraphs>7</Paragraphs>
  <ScaleCrop>false</ScaleCrop>
  <Company/>
  <LinksUpToDate>false</LinksUpToDate>
  <CharactersWithSpaces>3682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2013-05-25T09:36:00Z</dcterms:created>
  <dcterms:modified xsi:type="dcterms:W3CDTF">2013-05-25T09:38:00Z</dcterms:modified>
</cp:coreProperties>
</file>