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268" w:rsidRDefault="00B27268" w:rsidP="00B27268">
      <w:pPr>
        <w:spacing w:afterAutospacing="0"/>
        <w:jc w:val="center"/>
        <w:rPr>
          <w:rFonts w:ascii="Times New Roman" w:hAnsi="Times New Roman"/>
          <w:bCs w:val="0"/>
          <w:iCs w:val="0"/>
          <w:kern w:val="0"/>
        </w:rPr>
      </w:pPr>
      <w:r w:rsidRPr="00B27268">
        <w:rPr>
          <w:rFonts w:ascii="Times New Roman" w:hAnsi="Times New Roman"/>
          <w:bCs w:val="0"/>
          <w:iCs w:val="0"/>
          <w:kern w:val="0"/>
        </w:rPr>
        <w:t>SOFFERENZE BANCARIE:</w:t>
      </w:r>
    </w:p>
    <w:p w:rsidR="00B27268" w:rsidRPr="00B27268" w:rsidRDefault="00B27268" w:rsidP="00B27268">
      <w:pPr>
        <w:spacing w:afterAutospacing="0"/>
        <w:jc w:val="center"/>
        <w:rPr>
          <w:rFonts w:ascii="Times New Roman" w:hAnsi="Times New Roman"/>
          <w:bCs w:val="0"/>
          <w:iCs w:val="0"/>
          <w:kern w:val="0"/>
        </w:rPr>
      </w:pPr>
      <w:r w:rsidRPr="00B27268">
        <w:rPr>
          <w:rFonts w:ascii="Times New Roman" w:hAnsi="Times New Roman"/>
          <w:bCs w:val="0"/>
          <w:iCs w:val="0"/>
          <w:kern w:val="0"/>
        </w:rPr>
        <w:t>AUMENTANO DEL 171 % NEGLI ANNI DELLA CRISI, PASSANDO  DA 47 A 1</w:t>
      </w:r>
      <w:r>
        <w:rPr>
          <w:rFonts w:ascii="Times New Roman" w:hAnsi="Times New Roman"/>
          <w:bCs w:val="0"/>
          <w:iCs w:val="0"/>
          <w:kern w:val="0"/>
        </w:rPr>
        <w:t>2</w:t>
      </w:r>
      <w:r w:rsidRPr="00B27268">
        <w:rPr>
          <w:rFonts w:ascii="Times New Roman" w:hAnsi="Times New Roman"/>
          <w:bCs w:val="0"/>
          <w:iCs w:val="0"/>
          <w:kern w:val="0"/>
        </w:rPr>
        <w:t>7 MLD EURO</w:t>
      </w:r>
      <w:r>
        <w:rPr>
          <w:rFonts w:ascii="Times New Roman" w:hAnsi="Times New Roman"/>
          <w:bCs w:val="0"/>
          <w:iCs w:val="0"/>
          <w:kern w:val="0"/>
        </w:rPr>
        <w:t>.</w:t>
      </w:r>
    </w:p>
    <w:p w:rsidR="00B27268" w:rsidRPr="00B27268" w:rsidRDefault="00B27268" w:rsidP="00B27268">
      <w:pPr>
        <w:spacing w:before="100" w:beforeAutospacing="1" w:after="100"/>
        <w:jc w:val="center"/>
        <w:rPr>
          <w:rFonts w:ascii="Times New Roman" w:hAnsi="Times New Roman"/>
          <w:bCs w:val="0"/>
          <w:iCs w:val="0"/>
          <w:kern w:val="0"/>
        </w:rPr>
      </w:pPr>
      <w:r w:rsidRPr="00B27268">
        <w:rPr>
          <w:rFonts w:ascii="Times New Roman" w:hAnsi="Times New Roman"/>
          <w:b/>
          <w:iCs w:val="0"/>
          <w:kern w:val="0"/>
          <w:sz w:val="22"/>
          <w:szCs w:val="23"/>
        </w:rPr>
        <w:t>PARTICOLARE EVIDENZA PER LE FAMIGLIE CONSUMATRICI + 184% E PER LE SOCIETA’ NON FINANZIARIE +190%. BANCHE DEVONO MIGLIORARE MERITORIETA’ DEL CREDITO,PER CONTRIBUIRE A SUPERARE LA CRISI CON CREDITI DI BUONA QUALITA’!</w:t>
      </w:r>
    </w:p>
    <w:p w:rsidR="00B27268" w:rsidRPr="00B27268" w:rsidRDefault="00B27268" w:rsidP="00B27268">
      <w:pPr>
        <w:spacing w:before="100" w:beforeAutospacing="1" w:after="100" w:line="276" w:lineRule="auto"/>
        <w:jc w:val="both"/>
        <w:rPr>
          <w:rFonts w:ascii="Times New Roman" w:hAnsi="Times New Roman"/>
          <w:bCs w:val="0"/>
          <w:iCs w:val="0"/>
          <w:kern w:val="0"/>
        </w:rPr>
      </w:pPr>
      <w:r w:rsidRPr="00B27268">
        <w:rPr>
          <w:rFonts w:ascii="Times New Roman" w:hAnsi="Times New Roman"/>
          <w:bCs w:val="0"/>
          <w:iCs w:val="0"/>
          <w:kern w:val="0"/>
        </w:rPr>
        <w:t xml:space="preserve">I Bollettini statistici di </w:t>
      </w:r>
      <w:proofErr w:type="spellStart"/>
      <w:r w:rsidRPr="00B27268">
        <w:rPr>
          <w:rFonts w:ascii="Times New Roman" w:hAnsi="Times New Roman"/>
          <w:bCs w:val="0"/>
          <w:iCs w:val="0"/>
          <w:kern w:val="0"/>
        </w:rPr>
        <w:t>Bankitalia</w:t>
      </w:r>
      <w:proofErr w:type="spellEnd"/>
      <w:r w:rsidRPr="00B27268">
        <w:rPr>
          <w:rFonts w:ascii="Times New Roman" w:hAnsi="Times New Roman"/>
          <w:bCs w:val="0"/>
          <w:iCs w:val="0"/>
          <w:kern w:val="0"/>
        </w:rPr>
        <w:t xml:space="preserve"> forniscono, tra gli altri dati, l’andamento delle sofferenze bancarie. Abbiamo analizzato il loro trend negli anni della crisi (2006-2012), disaggregando i dati (nella tabella che segue)  per imputarne i livelli alle aziende (non finanziarie), alle Famiglie produttrici, alle Famiglie consumatrici. Oltre al valore in euro, sono riportati anche il numero di aziende e famiglie con posizione in sofferenza. In valore assoluto, l’ammontare delle sofferenze è passato dai 47 miliardi di euro del 2006, ai quasi 125 miliardi del 2012, con un incremento di oltre il 165 per cento, passato ad oltre il 171 percento se consideriamo l’ultimo dato relativo al febbraio 2013. L’andamento non è stato costantemente in crescita: nel 2008 si è assistito infatti ad un decremento rispetto al 2007 ( da 47,2 a  41,3 miliardi del 2008). E’ noto che in molti casi l’andamento delle sofferenze è lievitato per azioni intempestive da parte delle banche, con l’imposizione di rientro dagli affidamenti in termini temporali strettissimi, anche a posizioni il cui andamento economico e finanziario non avrebbe giustificato quel tirare i remi in barca.</w:t>
      </w:r>
    </w:p>
    <w:p w:rsidR="00B27268" w:rsidRPr="00B27268" w:rsidRDefault="00B27268" w:rsidP="00B27268">
      <w:pPr>
        <w:spacing w:before="100" w:beforeAutospacing="1" w:after="100" w:line="276" w:lineRule="auto"/>
        <w:jc w:val="both"/>
        <w:rPr>
          <w:rFonts w:ascii="Times New Roman" w:hAnsi="Times New Roman"/>
          <w:bCs w:val="0"/>
          <w:iCs w:val="0"/>
          <w:kern w:val="0"/>
        </w:rPr>
      </w:pPr>
      <w:r w:rsidRPr="00B27268">
        <w:rPr>
          <w:rFonts w:ascii="Times New Roman" w:hAnsi="Times New Roman"/>
          <w:b/>
          <w:iCs w:val="0"/>
          <w:kern w:val="0"/>
        </w:rPr>
        <w:t> Aziende:</w:t>
      </w:r>
    </w:p>
    <w:p w:rsidR="00B27268" w:rsidRPr="00B27268" w:rsidRDefault="00B27268" w:rsidP="00B27268">
      <w:pPr>
        <w:widowControl w:val="0"/>
        <w:spacing w:before="100" w:beforeAutospacing="1" w:after="100" w:line="276" w:lineRule="auto"/>
        <w:jc w:val="both"/>
        <w:rPr>
          <w:rFonts w:ascii="Times New Roman" w:hAnsi="Times New Roman"/>
          <w:bCs w:val="0"/>
          <w:iCs w:val="0"/>
          <w:kern w:val="0"/>
        </w:rPr>
      </w:pPr>
      <w:r w:rsidRPr="00B27268">
        <w:rPr>
          <w:rFonts w:ascii="Times New Roman" w:hAnsi="Times New Roman"/>
          <w:bCs w:val="0"/>
          <w:iCs w:val="0"/>
          <w:kern w:val="0"/>
        </w:rPr>
        <w:t>Il numero delle aziende con posizioni in sofferenza a dicembre 2012 è aumentato, rispetto al 2006,  del 70 %, passando da 113.591 a 193.058 unità.  L’importo delle sofferenze è aumentato di oltre il 177 percento, passate da 29,458 miliardi a 81,693. A febbraio 2013 l’importo, passato per le aziende a  85,415 miliardi, genera una crescita rispetto al 2006 del +190 percento.</w:t>
      </w:r>
    </w:p>
    <w:p w:rsidR="00B27268" w:rsidRPr="00B27268" w:rsidRDefault="00B27268" w:rsidP="00B27268">
      <w:pPr>
        <w:widowControl w:val="0"/>
        <w:spacing w:before="100" w:beforeAutospacing="1" w:after="100" w:line="276" w:lineRule="auto"/>
        <w:jc w:val="both"/>
        <w:rPr>
          <w:rFonts w:ascii="Times New Roman" w:hAnsi="Times New Roman"/>
          <w:bCs w:val="0"/>
          <w:iCs w:val="0"/>
          <w:kern w:val="0"/>
        </w:rPr>
      </w:pPr>
      <w:r w:rsidRPr="00B27268">
        <w:rPr>
          <w:rFonts w:ascii="Times New Roman" w:hAnsi="Times New Roman"/>
          <w:b/>
          <w:iCs w:val="0"/>
          <w:kern w:val="0"/>
        </w:rPr>
        <w:t> Famiglie produttrici:</w:t>
      </w:r>
    </w:p>
    <w:p w:rsidR="00B27268" w:rsidRPr="00B27268" w:rsidRDefault="00B27268" w:rsidP="00B27268">
      <w:pPr>
        <w:widowControl w:val="0"/>
        <w:spacing w:before="100" w:beforeAutospacing="1" w:after="100" w:line="276" w:lineRule="auto"/>
        <w:jc w:val="both"/>
        <w:rPr>
          <w:rFonts w:ascii="Times New Roman" w:hAnsi="Times New Roman"/>
          <w:bCs w:val="0"/>
          <w:iCs w:val="0"/>
          <w:kern w:val="0"/>
        </w:rPr>
      </w:pPr>
      <w:r w:rsidRPr="00B27268">
        <w:rPr>
          <w:rFonts w:ascii="Times New Roman" w:hAnsi="Times New Roman"/>
          <w:bCs w:val="0"/>
          <w:iCs w:val="0"/>
          <w:kern w:val="0"/>
        </w:rPr>
        <w:t>Il numero delle posizioni in sofferenza a dicembre 2012 è aumentato, rispetto al 2006, di oltre il 67 percento (da 98.085 a 163.898 unità del 2012).L’importo delle sofferenze relative è aumentato di oltre il l’87 percento, passate da 6,280 miliardi a 11,754 del 2012. A febbraio 2013 l’importo, passato per le famiglie produttrici a  11,765</w:t>
      </w:r>
      <w:r w:rsidRPr="00B27268">
        <w:rPr>
          <w:rFonts w:ascii="Times New Roman" w:hAnsi="Times New Roman"/>
          <w:bCs w:val="0"/>
          <w:iCs w:val="0"/>
          <w:kern w:val="0"/>
          <w:sz w:val="18"/>
          <w:szCs w:val="20"/>
        </w:rPr>
        <w:t xml:space="preserve"> </w:t>
      </w:r>
      <w:r w:rsidRPr="00B27268">
        <w:rPr>
          <w:rFonts w:ascii="Times New Roman" w:hAnsi="Times New Roman"/>
          <w:bCs w:val="0"/>
          <w:iCs w:val="0"/>
          <w:kern w:val="0"/>
        </w:rPr>
        <w:t>miliardi, genera una crescita rispetto al 2006 del +87,3  percento.</w:t>
      </w:r>
    </w:p>
    <w:p w:rsidR="00B27268" w:rsidRPr="00B27268" w:rsidRDefault="00B27268" w:rsidP="00B27268">
      <w:pPr>
        <w:widowControl w:val="0"/>
        <w:spacing w:before="100" w:beforeAutospacing="1" w:after="100" w:line="276" w:lineRule="auto"/>
        <w:jc w:val="both"/>
        <w:rPr>
          <w:rFonts w:ascii="Times New Roman" w:hAnsi="Times New Roman"/>
          <w:bCs w:val="0"/>
          <w:iCs w:val="0"/>
          <w:kern w:val="0"/>
        </w:rPr>
      </w:pPr>
      <w:r w:rsidRPr="00B27268">
        <w:rPr>
          <w:rFonts w:ascii="Times New Roman" w:hAnsi="Times New Roman"/>
          <w:b/>
          <w:iCs w:val="0"/>
          <w:kern w:val="0"/>
          <w:sz w:val="28"/>
        </w:rPr>
        <w:t> </w:t>
      </w:r>
      <w:r w:rsidRPr="00B27268">
        <w:rPr>
          <w:rFonts w:ascii="Times New Roman" w:hAnsi="Times New Roman"/>
          <w:b/>
          <w:iCs w:val="0"/>
          <w:kern w:val="0"/>
        </w:rPr>
        <w:t>Famiglie consumatrici:</w:t>
      </w:r>
    </w:p>
    <w:p w:rsidR="00B27268" w:rsidRPr="00B27268" w:rsidRDefault="00B27268" w:rsidP="00B27268">
      <w:pPr>
        <w:spacing w:before="100" w:beforeAutospacing="1" w:after="100" w:line="276" w:lineRule="auto"/>
        <w:ind w:left="-62"/>
        <w:jc w:val="both"/>
        <w:rPr>
          <w:rFonts w:ascii="Times New Roman" w:hAnsi="Times New Roman"/>
          <w:bCs w:val="0"/>
          <w:iCs w:val="0"/>
          <w:kern w:val="0"/>
        </w:rPr>
      </w:pPr>
      <w:r w:rsidRPr="00B27268">
        <w:rPr>
          <w:rFonts w:ascii="Times New Roman" w:hAnsi="Times New Roman"/>
          <w:bCs w:val="0"/>
          <w:iCs w:val="0"/>
          <w:kern w:val="0"/>
        </w:rPr>
        <w:t>Il numero delle posizioni in sofferenza a dicembre 2012 è, rispetto al 2006, praticamente raddoppiato, aumentato di oltre il 96 percento (da 382.975 a 752.935 unità del 2012). L’importo delle sofferenze relative è cresciuto di oltre 2,5 volte, aumentato del 159 percento (da 10,139 miliardi a 26,249 del 2012).</w:t>
      </w:r>
    </w:p>
    <w:p w:rsidR="00B27268" w:rsidRPr="00B27268" w:rsidRDefault="00B27268" w:rsidP="00B27268">
      <w:pPr>
        <w:widowControl w:val="0"/>
        <w:spacing w:before="100" w:beforeAutospacing="1" w:after="100" w:line="276" w:lineRule="auto"/>
        <w:jc w:val="both"/>
        <w:rPr>
          <w:rFonts w:ascii="Times New Roman" w:hAnsi="Times New Roman"/>
          <w:bCs w:val="0"/>
          <w:iCs w:val="0"/>
          <w:kern w:val="0"/>
        </w:rPr>
      </w:pPr>
      <w:r w:rsidRPr="00B27268">
        <w:rPr>
          <w:rFonts w:ascii="Times New Roman" w:hAnsi="Times New Roman"/>
          <w:bCs w:val="0"/>
          <w:iCs w:val="0"/>
          <w:kern w:val="0"/>
        </w:rPr>
        <w:t>A febbraio 2013 l’importo, passato per le famiglie consumatrici a  28,804</w:t>
      </w:r>
      <w:r w:rsidRPr="00B27268">
        <w:rPr>
          <w:rFonts w:ascii="Times New Roman" w:hAnsi="Times New Roman"/>
          <w:bCs w:val="0"/>
          <w:iCs w:val="0"/>
          <w:kern w:val="0"/>
          <w:sz w:val="18"/>
          <w:szCs w:val="20"/>
        </w:rPr>
        <w:t xml:space="preserve"> </w:t>
      </w:r>
      <w:r w:rsidRPr="00B27268">
        <w:rPr>
          <w:rFonts w:ascii="Times New Roman" w:hAnsi="Times New Roman"/>
          <w:bCs w:val="0"/>
          <w:iCs w:val="0"/>
          <w:kern w:val="0"/>
        </w:rPr>
        <w:t>miliardi, genera una crescita rispetto al 2006 del + 184,1  per cento</w:t>
      </w:r>
    </w:p>
    <w:p w:rsidR="00B27268" w:rsidRPr="00B27268" w:rsidRDefault="00B27268" w:rsidP="00B27268">
      <w:pPr>
        <w:spacing w:before="100" w:beforeAutospacing="1" w:after="100"/>
        <w:jc w:val="center"/>
        <w:rPr>
          <w:rFonts w:ascii="Times New Roman" w:hAnsi="Times New Roman"/>
          <w:bCs w:val="0"/>
          <w:iCs w:val="0"/>
          <w:kern w:val="0"/>
        </w:rPr>
      </w:pPr>
      <w:r w:rsidRPr="00B27268">
        <w:rPr>
          <w:rFonts w:ascii="Times New Roman" w:hAnsi="Times New Roman"/>
          <w:b/>
          <w:iCs w:val="0"/>
          <w:kern w:val="0"/>
          <w:sz w:val="22"/>
        </w:rPr>
        <w:t> </w:t>
      </w:r>
    </w:p>
    <w:p w:rsidR="00B27268" w:rsidRPr="00B27268" w:rsidRDefault="00B27268" w:rsidP="00B27268">
      <w:pPr>
        <w:spacing w:afterAutospacing="0"/>
        <w:jc w:val="center"/>
        <w:rPr>
          <w:rFonts w:ascii="Times New Roman" w:hAnsi="Times New Roman"/>
          <w:bCs w:val="0"/>
          <w:iCs w:val="0"/>
          <w:kern w:val="0"/>
        </w:rPr>
      </w:pPr>
      <w:r w:rsidRPr="00B27268">
        <w:rPr>
          <w:rFonts w:ascii="Times New Roman" w:hAnsi="Times New Roman"/>
          <w:b/>
          <w:iCs w:val="0"/>
          <w:kern w:val="0"/>
          <w:sz w:val="22"/>
        </w:rPr>
        <w:lastRenderedPageBreak/>
        <w:t>SOFFERENZE BANCARIE ANDAMENTO ANNI 2006 / 2-2013.</w:t>
      </w:r>
    </w:p>
    <w:p w:rsidR="00B27268" w:rsidRPr="00B27268" w:rsidRDefault="00B27268" w:rsidP="00B27268">
      <w:pPr>
        <w:spacing w:afterAutospacing="0"/>
        <w:jc w:val="center"/>
        <w:rPr>
          <w:rFonts w:ascii="Times New Roman" w:hAnsi="Times New Roman"/>
          <w:bCs w:val="0"/>
          <w:iCs w:val="0"/>
          <w:kern w:val="0"/>
        </w:rPr>
      </w:pPr>
      <w:r w:rsidRPr="00B27268">
        <w:rPr>
          <w:rFonts w:ascii="Times New Roman" w:hAnsi="Times New Roman"/>
          <w:b/>
          <w:iCs w:val="0"/>
          <w:kern w:val="0"/>
          <w:sz w:val="22"/>
        </w:rPr>
        <w:t xml:space="preserve">Fonte: Bollettini Statistici </w:t>
      </w:r>
      <w:proofErr w:type="spellStart"/>
      <w:r w:rsidRPr="00B27268">
        <w:rPr>
          <w:rFonts w:ascii="Times New Roman" w:hAnsi="Times New Roman"/>
          <w:b/>
          <w:iCs w:val="0"/>
          <w:kern w:val="0"/>
          <w:sz w:val="22"/>
        </w:rPr>
        <w:t>Bankitalia</w:t>
      </w:r>
      <w:proofErr w:type="spellEnd"/>
      <w:r w:rsidRPr="00B27268">
        <w:rPr>
          <w:rFonts w:ascii="Times New Roman" w:hAnsi="Times New Roman"/>
          <w:bCs w:val="0"/>
          <w:iCs w:val="0"/>
          <w:kern w:val="0"/>
          <w:sz w:val="22"/>
        </w:rPr>
        <w:t xml:space="preserve"> </w:t>
      </w:r>
      <w:r w:rsidRPr="00B27268">
        <w:rPr>
          <w:rFonts w:ascii="Times New Roman" w:hAnsi="Times New Roman"/>
          <w:b/>
          <w:iCs w:val="0"/>
          <w:kern w:val="0"/>
          <w:sz w:val="22"/>
        </w:rPr>
        <w:t>Nostre elaborazioni.</w:t>
      </w:r>
    </w:p>
    <w:p w:rsidR="00B27268" w:rsidRDefault="00B27268" w:rsidP="00B27268">
      <w:pPr>
        <w:spacing w:afterAutospacing="0"/>
        <w:jc w:val="center"/>
        <w:rPr>
          <w:rFonts w:ascii="Times New Roman" w:hAnsi="Times New Roman"/>
          <w:b/>
          <w:iCs w:val="0"/>
          <w:kern w:val="0"/>
          <w:sz w:val="20"/>
        </w:rPr>
      </w:pPr>
      <w:r w:rsidRPr="00B27268">
        <w:rPr>
          <w:rFonts w:ascii="Times New Roman" w:hAnsi="Times New Roman"/>
          <w:b/>
          <w:iCs w:val="0"/>
          <w:kern w:val="0"/>
          <w:sz w:val="20"/>
        </w:rPr>
        <w:t xml:space="preserve">(Numero in unità, importi in miliardi di euro) Elaborazioni Mauro Novelli Segretario Adusbef) </w:t>
      </w:r>
    </w:p>
    <w:p w:rsidR="00B27268" w:rsidRPr="00B27268" w:rsidRDefault="00B27268" w:rsidP="00B27268">
      <w:pPr>
        <w:spacing w:afterAutospacing="0"/>
        <w:jc w:val="center"/>
        <w:rPr>
          <w:rFonts w:ascii="Times New Roman" w:hAnsi="Times New Roman"/>
          <w:bCs w:val="0"/>
          <w:iCs w:val="0"/>
          <w:kern w:val="0"/>
        </w:rPr>
      </w:pPr>
      <w:bookmarkStart w:id="0" w:name="_GoBack"/>
      <w:bookmarkEnd w:id="0"/>
    </w:p>
    <w:tbl>
      <w:tblPr>
        <w:tblW w:w="0" w:type="auto"/>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0"/>
        <w:gridCol w:w="330"/>
        <w:gridCol w:w="674"/>
        <w:gridCol w:w="674"/>
        <w:gridCol w:w="674"/>
        <w:gridCol w:w="674"/>
        <w:gridCol w:w="674"/>
        <w:gridCol w:w="736"/>
        <w:gridCol w:w="736"/>
        <w:gridCol w:w="840"/>
        <w:gridCol w:w="736"/>
        <w:gridCol w:w="861"/>
      </w:tblGrid>
      <w:tr w:rsidR="00B27268" w:rsidRPr="00B27268" w:rsidTr="00B27268">
        <w:trPr>
          <w:trHeight w:val="246"/>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C2D69B"/>
            <w:vAlign w:val="center"/>
            <w:hideMark/>
          </w:tcPr>
          <w:p w:rsidR="00B27268" w:rsidRPr="00B27268" w:rsidRDefault="00B27268" w:rsidP="00B27268">
            <w:pPr>
              <w:spacing w:afterAutospacing="0"/>
              <w:ind w:right="-23"/>
              <w:jc w:val="center"/>
              <w:rPr>
                <w:rFonts w:ascii="Times New Roman" w:hAnsi="Times New Roman"/>
                <w:bCs w:val="0"/>
                <w:iCs w:val="0"/>
                <w:kern w:val="0"/>
              </w:rPr>
            </w:pPr>
            <w:r w:rsidRPr="00B27268">
              <w:rPr>
                <w:rFonts w:ascii="Times New Roman" w:hAnsi="Times New Roman"/>
                <w:b/>
                <w:iCs w:val="0"/>
                <w:kern w:val="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C2D69B"/>
            <w:vAlign w:val="center"/>
            <w:hideMark/>
          </w:tcPr>
          <w:p w:rsidR="00B27268" w:rsidRPr="00B27268" w:rsidRDefault="00B27268" w:rsidP="00B27268">
            <w:pPr>
              <w:spacing w:afterAutospacing="0"/>
              <w:jc w:val="center"/>
              <w:rPr>
                <w:rFonts w:ascii="Times New Roman" w:hAnsi="Times New Roman"/>
                <w:bCs w:val="0"/>
                <w:iCs w:val="0"/>
                <w:kern w:val="0"/>
              </w:rPr>
            </w:pPr>
            <w:r w:rsidRPr="00B27268">
              <w:rPr>
                <w:rFonts w:ascii="Times New Roman" w:hAnsi="Times New Roman"/>
                <w:b/>
                <w:iCs w:val="0"/>
                <w:kern w:val="0"/>
                <w:sz w:val="16"/>
                <w:szCs w:val="16"/>
              </w:rPr>
              <w:t>2006</w:t>
            </w:r>
          </w:p>
        </w:tc>
        <w:tc>
          <w:tcPr>
            <w:tcW w:w="0" w:type="auto"/>
            <w:tcBorders>
              <w:top w:val="single" w:sz="4" w:space="0" w:color="auto"/>
              <w:left w:val="single" w:sz="4" w:space="0" w:color="auto"/>
              <w:bottom w:val="single" w:sz="4" w:space="0" w:color="auto"/>
              <w:right w:val="single" w:sz="4" w:space="0" w:color="auto"/>
            </w:tcBorders>
            <w:shd w:val="clear" w:color="auto" w:fill="C2D69B"/>
            <w:vAlign w:val="center"/>
            <w:hideMark/>
          </w:tcPr>
          <w:p w:rsidR="00B27268" w:rsidRPr="00B27268" w:rsidRDefault="00B27268" w:rsidP="00B27268">
            <w:pPr>
              <w:spacing w:afterAutospacing="0"/>
              <w:jc w:val="center"/>
              <w:rPr>
                <w:rFonts w:ascii="Times New Roman" w:hAnsi="Times New Roman"/>
                <w:bCs w:val="0"/>
                <w:iCs w:val="0"/>
                <w:kern w:val="0"/>
              </w:rPr>
            </w:pPr>
            <w:r w:rsidRPr="00B27268">
              <w:rPr>
                <w:rFonts w:ascii="Times New Roman" w:hAnsi="Times New Roman"/>
                <w:b/>
                <w:iCs w:val="0"/>
                <w:kern w:val="0"/>
                <w:sz w:val="16"/>
                <w:szCs w:val="16"/>
              </w:rPr>
              <w:t>2007</w:t>
            </w:r>
          </w:p>
        </w:tc>
        <w:tc>
          <w:tcPr>
            <w:tcW w:w="0" w:type="auto"/>
            <w:tcBorders>
              <w:top w:val="single" w:sz="4" w:space="0" w:color="auto"/>
              <w:left w:val="single" w:sz="4" w:space="0" w:color="auto"/>
              <w:bottom w:val="single" w:sz="4" w:space="0" w:color="auto"/>
              <w:right w:val="single" w:sz="4" w:space="0" w:color="auto"/>
            </w:tcBorders>
            <w:shd w:val="clear" w:color="auto" w:fill="C2D69B"/>
            <w:vAlign w:val="center"/>
            <w:hideMark/>
          </w:tcPr>
          <w:p w:rsidR="00B27268" w:rsidRPr="00B27268" w:rsidRDefault="00B27268" w:rsidP="00B27268">
            <w:pPr>
              <w:spacing w:afterAutospacing="0"/>
              <w:jc w:val="center"/>
              <w:rPr>
                <w:rFonts w:ascii="Times New Roman" w:hAnsi="Times New Roman"/>
                <w:bCs w:val="0"/>
                <w:iCs w:val="0"/>
                <w:kern w:val="0"/>
              </w:rPr>
            </w:pPr>
            <w:r w:rsidRPr="00B27268">
              <w:rPr>
                <w:rFonts w:ascii="Times New Roman" w:hAnsi="Times New Roman"/>
                <w:b/>
                <w:iCs w:val="0"/>
                <w:kern w:val="0"/>
                <w:sz w:val="16"/>
                <w:szCs w:val="16"/>
              </w:rPr>
              <w:t>2008</w:t>
            </w:r>
          </w:p>
        </w:tc>
        <w:tc>
          <w:tcPr>
            <w:tcW w:w="0" w:type="auto"/>
            <w:tcBorders>
              <w:top w:val="single" w:sz="4" w:space="0" w:color="auto"/>
              <w:left w:val="single" w:sz="4" w:space="0" w:color="auto"/>
              <w:bottom w:val="single" w:sz="4" w:space="0" w:color="auto"/>
              <w:right w:val="single" w:sz="4" w:space="0" w:color="auto"/>
            </w:tcBorders>
            <w:shd w:val="clear" w:color="auto" w:fill="C2D69B"/>
            <w:vAlign w:val="center"/>
            <w:hideMark/>
          </w:tcPr>
          <w:p w:rsidR="00B27268" w:rsidRPr="00B27268" w:rsidRDefault="00B27268" w:rsidP="00B27268">
            <w:pPr>
              <w:spacing w:afterAutospacing="0"/>
              <w:jc w:val="center"/>
              <w:rPr>
                <w:rFonts w:ascii="Times New Roman" w:hAnsi="Times New Roman"/>
                <w:bCs w:val="0"/>
                <w:iCs w:val="0"/>
                <w:kern w:val="0"/>
              </w:rPr>
            </w:pPr>
            <w:r w:rsidRPr="00B27268">
              <w:rPr>
                <w:rFonts w:ascii="Times New Roman" w:hAnsi="Times New Roman"/>
                <w:b/>
                <w:iCs w:val="0"/>
                <w:kern w:val="0"/>
                <w:sz w:val="16"/>
                <w:szCs w:val="16"/>
              </w:rPr>
              <w:t>2009</w:t>
            </w:r>
          </w:p>
        </w:tc>
        <w:tc>
          <w:tcPr>
            <w:tcW w:w="0" w:type="auto"/>
            <w:tcBorders>
              <w:top w:val="single" w:sz="4" w:space="0" w:color="auto"/>
              <w:left w:val="single" w:sz="4" w:space="0" w:color="auto"/>
              <w:bottom w:val="single" w:sz="4" w:space="0" w:color="auto"/>
              <w:right w:val="single" w:sz="4" w:space="0" w:color="auto"/>
            </w:tcBorders>
            <w:shd w:val="clear" w:color="auto" w:fill="C2D69B"/>
            <w:vAlign w:val="center"/>
            <w:hideMark/>
          </w:tcPr>
          <w:p w:rsidR="00B27268" w:rsidRPr="00B27268" w:rsidRDefault="00B27268" w:rsidP="00B27268">
            <w:pPr>
              <w:spacing w:afterAutospacing="0"/>
              <w:jc w:val="center"/>
              <w:rPr>
                <w:rFonts w:ascii="Times New Roman" w:hAnsi="Times New Roman"/>
                <w:bCs w:val="0"/>
                <w:iCs w:val="0"/>
                <w:kern w:val="0"/>
              </w:rPr>
            </w:pPr>
            <w:r w:rsidRPr="00B27268">
              <w:rPr>
                <w:rFonts w:ascii="Times New Roman" w:hAnsi="Times New Roman"/>
                <w:b/>
                <w:iCs w:val="0"/>
                <w:kern w:val="0"/>
                <w:sz w:val="16"/>
                <w:szCs w:val="16"/>
              </w:rPr>
              <w:t>2010</w:t>
            </w:r>
          </w:p>
        </w:tc>
        <w:tc>
          <w:tcPr>
            <w:tcW w:w="0" w:type="auto"/>
            <w:tcBorders>
              <w:top w:val="single" w:sz="4" w:space="0" w:color="auto"/>
              <w:left w:val="single" w:sz="4" w:space="0" w:color="auto"/>
              <w:bottom w:val="single" w:sz="4" w:space="0" w:color="auto"/>
              <w:right w:val="single" w:sz="4" w:space="0" w:color="auto"/>
            </w:tcBorders>
            <w:shd w:val="clear" w:color="auto" w:fill="C2D69B"/>
            <w:vAlign w:val="center"/>
            <w:hideMark/>
          </w:tcPr>
          <w:p w:rsidR="00B27268" w:rsidRPr="00B27268" w:rsidRDefault="00B27268" w:rsidP="00B27268">
            <w:pPr>
              <w:spacing w:afterAutospacing="0"/>
              <w:jc w:val="center"/>
              <w:rPr>
                <w:rFonts w:ascii="Times New Roman" w:hAnsi="Times New Roman"/>
                <w:bCs w:val="0"/>
                <w:iCs w:val="0"/>
                <w:kern w:val="0"/>
              </w:rPr>
            </w:pPr>
            <w:r w:rsidRPr="00B27268">
              <w:rPr>
                <w:rFonts w:ascii="Times New Roman" w:hAnsi="Times New Roman"/>
                <w:b/>
                <w:iCs w:val="0"/>
                <w:kern w:val="0"/>
                <w:sz w:val="16"/>
                <w:szCs w:val="16"/>
              </w:rPr>
              <w:t>2011</w:t>
            </w:r>
          </w:p>
        </w:tc>
        <w:tc>
          <w:tcPr>
            <w:tcW w:w="0" w:type="auto"/>
            <w:tcBorders>
              <w:top w:val="single" w:sz="4" w:space="0" w:color="auto"/>
              <w:left w:val="single" w:sz="4" w:space="0" w:color="auto"/>
              <w:bottom w:val="single" w:sz="4" w:space="0" w:color="auto"/>
              <w:right w:val="single" w:sz="4" w:space="0" w:color="auto"/>
            </w:tcBorders>
            <w:shd w:val="clear" w:color="auto" w:fill="C2D69B"/>
            <w:vAlign w:val="center"/>
            <w:hideMark/>
          </w:tcPr>
          <w:p w:rsidR="00B27268" w:rsidRPr="00B27268" w:rsidRDefault="00B27268" w:rsidP="00B27268">
            <w:pPr>
              <w:spacing w:afterAutospacing="0"/>
              <w:jc w:val="center"/>
              <w:rPr>
                <w:rFonts w:ascii="Times New Roman" w:hAnsi="Times New Roman"/>
                <w:bCs w:val="0"/>
                <w:iCs w:val="0"/>
                <w:kern w:val="0"/>
              </w:rPr>
            </w:pPr>
            <w:r w:rsidRPr="00B27268">
              <w:rPr>
                <w:rFonts w:ascii="Times New Roman" w:hAnsi="Times New Roman"/>
                <w:b/>
                <w:iCs w:val="0"/>
                <w:kern w:val="0"/>
                <w:sz w:val="16"/>
                <w:szCs w:val="16"/>
              </w:rPr>
              <w:t>2012</w:t>
            </w:r>
          </w:p>
        </w:tc>
        <w:tc>
          <w:tcPr>
            <w:tcW w:w="0" w:type="auto"/>
            <w:tcBorders>
              <w:top w:val="single" w:sz="4" w:space="0" w:color="auto"/>
              <w:left w:val="single" w:sz="4" w:space="0" w:color="auto"/>
              <w:bottom w:val="single" w:sz="4" w:space="0" w:color="auto"/>
              <w:right w:val="single" w:sz="4" w:space="0" w:color="auto"/>
            </w:tcBorders>
            <w:shd w:val="clear" w:color="auto" w:fill="C2D69B"/>
            <w:vAlign w:val="center"/>
            <w:hideMark/>
          </w:tcPr>
          <w:p w:rsidR="00B27268" w:rsidRPr="00B27268" w:rsidRDefault="00B27268" w:rsidP="00B27268">
            <w:pPr>
              <w:spacing w:afterAutospacing="0"/>
              <w:jc w:val="center"/>
              <w:rPr>
                <w:rFonts w:ascii="Times New Roman" w:hAnsi="Times New Roman"/>
                <w:bCs w:val="0"/>
                <w:iCs w:val="0"/>
                <w:kern w:val="0"/>
              </w:rPr>
            </w:pPr>
            <w:r w:rsidRPr="00B27268">
              <w:rPr>
                <w:rFonts w:ascii="Times New Roman" w:hAnsi="Times New Roman"/>
                <w:b/>
                <w:iCs w:val="0"/>
                <w:color w:val="C00000"/>
                <w:kern w:val="0"/>
                <w:sz w:val="16"/>
                <w:szCs w:val="16"/>
              </w:rPr>
              <w:t>2012 su</w:t>
            </w:r>
          </w:p>
          <w:p w:rsidR="00B27268" w:rsidRPr="00B27268" w:rsidRDefault="00B27268" w:rsidP="00B27268">
            <w:pPr>
              <w:spacing w:afterAutospacing="0"/>
              <w:jc w:val="center"/>
              <w:rPr>
                <w:rFonts w:ascii="Times New Roman" w:hAnsi="Times New Roman"/>
                <w:bCs w:val="0"/>
                <w:iCs w:val="0"/>
                <w:kern w:val="0"/>
              </w:rPr>
            </w:pPr>
            <w:r w:rsidRPr="00B27268">
              <w:rPr>
                <w:rFonts w:ascii="Times New Roman" w:hAnsi="Times New Roman"/>
                <w:b/>
                <w:iCs w:val="0"/>
                <w:color w:val="C00000"/>
                <w:kern w:val="0"/>
                <w:sz w:val="16"/>
                <w:szCs w:val="16"/>
              </w:rPr>
              <w:t>2006</w:t>
            </w:r>
          </w:p>
        </w:tc>
        <w:tc>
          <w:tcPr>
            <w:tcW w:w="0" w:type="auto"/>
            <w:tcBorders>
              <w:top w:val="single" w:sz="4" w:space="0" w:color="auto"/>
              <w:left w:val="single" w:sz="4" w:space="0" w:color="auto"/>
              <w:bottom w:val="single" w:sz="4" w:space="0" w:color="auto"/>
              <w:right w:val="single" w:sz="4" w:space="0" w:color="auto"/>
            </w:tcBorders>
            <w:shd w:val="clear" w:color="auto" w:fill="C2D69B"/>
            <w:vAlign w:val="center"/>
            <w:hideMark/>
          </w:tcPr>
          <w:p w:rsidR="00B27268" w:rsidRPr="00B27268" w:rsidRDefault="00B27268" w:rsidP="00B27268">
            <w:pPr>
              <w:spacing w:afterAutospacing="0"/>
              <w:jc w:val="center"/>
              <w:rPr>
                <w:rFonts w:ascii="Times New Roman" w:hAnsi="Times New Roman"/>
                <w:bCs w:val="0"/>
                <w:iCs w:val="0"/>
                <w:kern w:val="0"/>
              </w:rPr>
            </w:pPr>
            <w:r w:rsidRPr="00B27268">
              <w:rPr>
                <w:rFonts w:ascii="Times New Roman" w:hAnsi="Times New Roman"/>
                <w:b/>
                <w:iCs w:val="0"/>
                <w:kern w:val="0"/>
                <w:sz w:val="16"/>
                <w:szCs w:val="16"/>
              </w:rPr>
              <w:t>2/2013</w:t>
            </w:r>
          </w:p>
        </w:tc>
        <w:tc>
          <w:tcPr>
            <w:tcW w:w="0" w:type="auto"/>
            <w:tcBorders>
              <w:top w:val="single" w:sz="4" w:space="0" w:color="auto"/>
              <w:left w:val="single" w:sz="4" w:space="0" w:color="auto"/>
              <w:bottom w:val="single" w:sz="4" w:space="0" w:color="auto"/>
              <w:right w:val="single" w:sz="4" w:space="0" w:color="auto"/>
            </w:tcBorders>
            <w:shd w:val="clear" w:color="auto" w:fill="C2D69B"/>
            <w:vAlign w:val="center"/>
            <w:hideMark/>
          </w:tcPr>
          <w:p w:rsidR="00B27268" w:rsidRPr="00B27268" w:rsidRDefault="00B27268" w:rsidP="00B27268">
            <w:pPr>
              <w:spacing w:afterAutospacing="0"/>
              <w:jc w:val="center"/>
              <w:rPr>
                <w:rFonts w:ascii="Times New Roman" w:hAnsi="Times New Roman"/>
                <w:bCs w:val="0"/>
                <w:iCs w:val="0"/>
                <w:kern w:val="0"/>
              </w:rPr>
            </w:pPr>
            <w:r w:rsidRPr="00B27268">
              <w:rPr>
                <w:rFonts w:ascii="Times New Roman" w:hAnsi="Times New Roman"/>
                <w:b/>
                <w:iCs w:val="0"/>
                <w:color w:val="C00000"/>
                <w:kern w:val="0"/>
                <w:sz w:val="16"/>
                <w:szCs w:val="16"/>
              </w:rPr>
              <w:t>2-2013 su</w:t>
            </w:r>
          </w:p>
          <w:p w:rsidR="00B27268" w:rsidRPr="00B27268" w:rsidRDefault="00B27268" w:rsidP="00B27268">
            <w:pPr>
              <w:spacing w:afterAutospacing="0"/>
              <w:jc w:val="center"/>
              <w:rPr>
                <w:rFonts w:ascii="Times New Roman" w:hAnsi="Times New Roman"/>
                <w:bCs w:val="0"/>
                <w:iCs w:val="0"/>
                <w:kern w:val="0"/>
              </w:rPr>
            </w:pPr>
            <w:r w:rsidRPr="00B27268">
              <w:rPr>
                <w:rFonts w:ascii="Times New Roman" w:hAnsi="Times New Roman"/>
                <w:b/>
                <w:iCs w:val="0"/>
                <w:color w:val="C00000"/>
                <w:kern w:val="0"/>
                <w:sz w:val="16"/>
                <w:szCs w:val="16"/>
              </w:rPr>
              <w:t>2006</w:t>
            </w:r>
          </w:p>
        </w:tc>
      </w:tr>
      <w:tr w:rsidR="00B27268" w:rsidRPr="00B27268" w:rsidTr="00B27268">
        <w:trP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C2D69B"/>
            <w:hideMark/>
          </w:tcPr>
          <w:p w:rsidR="00B27268" w:rsidRPr="00B27268" w:rsidRDefault="00B27268" w:rsidP="00B27268">
            <w:pPr>
              <w:spacing w:afterAutospacing="0"/>
              <w:ind w:right="-23"/>
              <w:rPr>
                <w:rFonts w:ascii="Times New Roman" w:hAnsi="Times New Roman"/>
                <w:bCs w:val="0"/>
                <w:iCs w:val="0"/>
                <w:kern w:val="0"/>
              </w:rPr>
            </w:pPr>
            <w:r w:rsidRPr="00B27268">
              <w:rPr>
                <w:rFonts w:ascii="Times New Roman" w:hAnsi="Times New Roman"/>
                <w:b/>
                <w:iCs w:val="0"/>
                <w:kern w:val="0"/>
                <w:sz w:val="16"/>
                <w:szCs w:val="16"/>
              </w:rPr>
              <w:t> </w:t>
            </w:r>
          </w:p>
          <w:p w:rsidR="00B27268" w:rsidRPr="00B27268" w:rsidRDefault="00B27268" w:rsidP="00B27268">
            <w:pPr>
              <w:spacing w:afterAutospacing="0"/>
              <w:ind w:right="-23"/>
              <w:rPr>
                <w:rFonts w:ascii="Times New Roman" w:hAnsi="Times New Roman"/>
                <w:bCs w:val="0"/>
                <w:iCs w:val="0"/>
                <w:kern w:val="0"/>
              </w:rPr>
            </w:pPr>
            <w:r w:rsidRPr="00B27268">
              <w:rPr>
                <w:rFonts w:ascii="Times New Roman" w:hAnsi="Times New Roman"/>
                <w:b/>
                <w:iCs w:val="0"/>
                <w:kern w:val="0"/>
                <w:sz w:val="16"/>
                <w:szCs w:val="16"/>
              </w:rPr>
              <w:t xml:space="preserve">Totale </w:t>
            </w:r>
          </w:p>
          <w:p w:rsidR="00B27268" w:rsidRPr="00B27268" w:rsidRDefault="00B27268" w:rsidP="00B27268">
            <w:pPr>
              <w:spacing w:afterAutospacing="0"/>
              <w:ind w:right="-23"/>
              <w:rPr>
                <w:rFonts w:ascii="Times New Roman" w:hAnsi="Times New Roman"/>
                <w:bCs w:val="0"/>
                <w:iCs w:val="0"/>
                <w:kern w:val="0"/>
              </w:rPr>
            </w:pPr>
            <w:r w:rsidRPr="00B27268">
              <w:rPr>
                <w:rFonts w:ascii="Times New Roman" w:hAnsi="Times New Roman"/>
                <w:b/>
                <w:iCs w:val="0"/>
                <w:kern w:val="0"/>
                <w:sz w:val="16"/>
                <w:szCs w:val="16"/>
              </w:rPr>
              <w:t>sofferenze</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jc w:val="right"/>
              <w:rPr>
                <w:rFonts w:ascii="Times New Roman" w:hAnsi="Times New Roman"/>
                <w:bCs w:val="0"/>
                <w:iCs w:val="0"/>
                <w:kern w:val="0"/>
              </w:rPr>
            </w:pPr>
            <w:r w:rsidRPr="00B27268">
              <w:rPr>
                <w:rFonts w:ascii="Times New Roman" w:hAnsi="Times New Roman"/>
                <w:bCs w:val="0"/>
                <w:iCs w:val="0"/>
                <w:kern w:val="0"/>
                <w:sz w:val="16"/>
                <w:szCs w:val="16"/>
              </w:rPr>
              <w:t>47,057</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jc w:val="right"/>
              <w:rPr>
                <w:rFonts w:ascii="Times New Roman" w:hAnsi="Times New Roman"/>
                <w:bCs w:val="0"/>
                <w:iCs w:val="0"/>
                <w:kern w:val="0"/>
              </w:rPr>
            </w:pPr>
            <w:r w:rsidRPr="00B27268">
              <w:rPr>
                <w:rFonts w:ascii="Times New Roman" w:hAnsi="Times New Roman"/>
                <w:bCs w:val="0"/>
                <w:iCs w:val="0"/>
                <w:kern w:val="0"/>
                <w:sz w:val="16"/>
                <w:szCs w:val="16"/>
              </w:rPr>
              <w:t>47,221</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jc w:val="right"/>
              <w:rPr>
                <w:rFonts w:ascii="Times New Roman" w:hAnsi="Times New Roman"/>
                <w:bCs w:val="0"/>
                <w:iCs w:val="0"/>
                <w:kern w:val="0"/>
              </w:rPr>
            </w:pPr>
            <w:r w:rsidRPr="00B27268">
              <w:rPr>
                <w:rFonts w:ascii="Times New Roman" w:hAnsi="Times New Roman"/>
                <w:bCs w:val="0"/>
                <w:iCs w:val="0"/>
                <w:kern w:val="0"/>
                <w:sz w:val="16"/>
                <w:szCs w:val="16"/>
              </w:rPr>
              <w:t>41,319</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jc w:val="right"/>
              <w:rPr>
                <w:rFonts w:ascii="Times New Roman" w:hAnsi="Times New Roman"/>
                <w:bCs w:val="0"/>
                <w:iCs w:val="0"/>
                <w:kern w:val="0"/>
              </w:rPr>
            </w:pPr>
            <w:r w:rsidRPr="00B27268">
              <w:rPr>
                <w:rFonts w:ascii="Times New Roman" w:hAnsi="Times New Roman"/>
                <w:bCs w:val="0"/>
                <w:iCs w:val="0"/>
                <w:kern w:val="0"/>
                <w:sz w:val="16"/>
                <w:szCs w:val="16"/>
              </w:rPr>
              <w:t>59,166</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jc w:val="right"/>
              <w:rPr>
                <w:rFonts w:ascii="Times New Roman" w:hAnsi="Times New Roman"/>
                <w:bCs w:val="0"/>
                <w:iCs w:val="0"/>
                <w:kern w:val="0"/>
              </w:rPr>
            </w:pPr>
            <w:r w:rsidRPr="00B27268">
              <w:rPr>
                <w:rFonts w:ascii="Times New Roman" w:hAnsi="Times New Roman"/>
                <w:bCs w:val="0"/>
                <w:iCs w:val="0"/>
                <w:kern w:val="0"/>
                <w:sz w:val="16"/>
                <w:szCs w:val="16"/>
              </w:rPr>
              <w:t>77,843</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jc w:val="right"/>
              <w:rPr>
                <w:rFonts w:ascii="Times New Roman" w:hAnsi="Times New Roman"/>
                <w:bCs w:val="0"/>
                <w:iCs w:val="0"/>
                <w:kern w:val="0"/>
              </w:rPr>
            </w:pPr>
            <w:r w:rsidRPr="00B27268">
              <w:rPr>
                <w:rFonts w:ascii="Times New Roman" w:hAnsi="Times New Roman"/>
                <w:bCs w:val="0"/>
                <w:iCs w:val="0"/>
                <w:kern w:val="0"/>
                <w:sz w:val="16"/>
                <w:szCs w:val="16"/>
              </w:rPr>
              <w:t>107,187</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jc w:val="right"/>
              <w:rPr>
                <w:rFonts w:ascii="Times New Roman" w:hAnsi="Times New Roman"/>
                <w:bCs w:val="0"/>
                <w:iCs w:val="0"/>
                <w:kern w:val="0"/>
              </w:rPr>
            </w:pPr>
            <w:r w:rsidRPr="00B27268">
              <w:rPr>
                <w:rFonts w:ascii="Times New Roman" w:hAnsi="Times New Roman"/>
                <w:bCs w:val="0"/>
                <w:iCs w:val="0"/>
                <w:kern w:val="0"/>
                <w:sz w:val="16"/>
                <w:szCs w:val="16"/>
              </w:rPr>
              <w:t>124,987</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jc w:val="right"/>
              <w:rPr>
                <w:rFonts w:ascii="Times New Roman" w:hAnsi="Times New Roman"/>
                <w:bCs w:val="0"/>
                <w:iCs w:val="0"/>
                <w:kern w:val="0"/>
              </w:rPr>
            </w:pPr>
            <w:r w:rsidRPr="00B27268">
              <w:rPr>
                <w:rFonts w:ascii="Times New Roman" w:hAnsi="Times New Roman"/>
                <w:bCs w:val="0"/>
                <w:iCs w:val="0"/>
                <w:color w:val="C00000"/>
                <w:kern w:val="0"/>
                <w:sz w:val="16"/>
                <w:szCs w:val="16"/>
              </w:rPr>
              <w:t>+165,6 %</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jc w:val="right"/>
              <w:rPr>
                <w:rFonts w:ascii="Times New Roman" w:hAnsi="Times New Roman"/>
                <w:bCs w:val="0"/>
                <w:iCs w:val="0"/>
                <w:kern w:val="0"/>
              </w:rPr>
            </w:pPr>
            <w:r w:rsidRPr="00B27268">
              <w:rPr>
                <w:rFonts w:ascii="Times New Roman" w:hAnsi="Times New Roman"/>
                <w:bCs w:val="0"/>
                <w:iCs w:val="0"/>
                <w:kern w:val="0"/>
                <w:sz w:val="16"/>
                <w:szCs w:val="16"/>
              </w:rPr>
              <w:t>127,655</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jc w:val="right"/>
              <w:rPr>
                <w:rFonts w:ascii="Times New Roman" w:hAnsi="Times New Roman"/>
                <w:bCs w:val="0"/>
                <w:iCs w:val="0"/>
                <w:kern w:val="0"/>
              </w:rPr>
            </w:pPr>
            <w:r w:rsidRPr="00B27268">
              <w:rPr>
                <w:rFonts w:ascii="Times New Roman" w:hAnsi="Times New Roman"/>
                <w:bCs w:val="0"/>
                <w:iCs w:val="0"/>
                <w:color w:val="C00000"/>
                <w:kern w:val="0"/>
                <w:sz w:val="16"/>
                <w:szCs w:val="16"/>
              </w:rPr>
              <w:t>+171,3 %</w:t>
            </w:r>
          </w:p>
        </w:tc>
      </w:tr>
      <w:tr w:rsidR="00B27268" w:rsidRPr="00B27268" w:rsidTr="00B27268">
        <w:trPr>
          <w:trHeight w:val="51"/>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EAF1DD"/>
            <w:vAlign w:val="center"/>
            <w:hideMark/>
          </w:tcPr>
          <w:p w:rsidR="00B27268" w:rsidRPr="00B27268" w:rsidRDefault="00B27268" w:rsidP="00B27268">
            <w:pPr>
              <w:spacing w:afterAutospacing="0" w:line="51" w:lineRule="atLeast"/>
              <w:ind w:right="-165"/>
              <w:jc w:val="right"/>
              <w:rPr>
                <w:rFonts w:ascii="Times New Roman" w:hAnsi="Times New Roman"/>
                <w:bCs w:val="0"/>
                <w:iCs w:val="0"/>
                <w:kern w:val="0"/>
              </w:rPr>
            </w:pPr>
            <w:r w:rsidRPr="00B27268">
              <w:rPr>
                <w:rFonts w:ascii="Times New Roman" w:hAnsi="Times New Roman"/>
                <w:b/>
                <w:iCs w:val="0"/>
                <w:kern w:val="0"/>
                <w:sz w:val="16"/>
                <w:szCs w:val="16"/>
              </w:rPr>
              <w:t xml:space="preserve">Di cui….                      </w:t>
            </w:r>
          </w:p>
        </w:tc>
        <w:tc>
          <w:tcPr>
            <w:tcW w:w="0" w:type="auto"/>
            <w:gridSpan w:val="8"/>
            <w:tcBorders>
              <w:top w:val="single" w:sz="4" w:space="0" w:color="auto"/>
              <w:left w:val="single" w:sz="4" w:space="0" w:color="auto"/>
              <w:bottom w:val="single" w:sz="4" w:space="0" w:color="auto"/>
              <w:right w:val="single" w:sz="4" w:space="0" w:color="FFFFFF"/>
            </w:tcBorders>
            <w:vAlign w:val="center"/>
            <w:hideMark/>
          </w:tcPr>
          <w:p w:rsidR="00B27268" w:rsidRPr="00B27268" w:rsidRDefault="00B27268" w:rsidP="00B27268">
            <w:pPr>
              <w:spacing w:afterAutospacing="0" w:line="51" w:lineRule="atLeast"/>
              <w:jc w:val="right"/>
              <w:rPr>
                <w:rFonts w:ascii="Times New Roman" w:hAnsi="Times New Roman"/>
                <w:bCs w:val="0"/>
                <w:iCs w:val="0"/>
                <w:kern w:val="0"/>
              </w:rPr>
            </w:pPr>
            <w:r w:rsidRPr="00B27268">
              <w:rPr>
                <w:rFonts w:ascii="Times New Roman" w:hAnsi="Times New Roman"/>
                <w:bCs w:val="0"/>
                <w:iCs w:val="0"/>
                <w:color w:val="C00000"/>
                <w:kern w:val="0"/>
                <w:sz w:val="16"/>
                <w:szCs w:val="16"/>
              </w:rPr>
              <w:t> </w:t>
            </w:r>
          </w:p>
        </w:tc>
        <w:tc>
          <w:tcPr>
            <w:tcW w:w="0" w:type="auto"/>
            <w:gridSpan w:val="2"/>
            <w:tcBorders>
              <w:top w:val="single" w:sz="4" w:space="0" w:color="auto"/>
              <w:left w:val="single" w:sz="4" w:space="0" w:color="FFFFFF"/>
              <w:bottom w:val="single" w:sz="4" w:space="0" w:color="auto"/>
              <w:right w:val="single" w:sz="4" w:space="0" w:color="auto"/>
            </w:tcBorders>
            <w:vAlign w:val="center"/>
            <w:hideMark/>
          </w:tcPr>
          <w:p w:rsidR="00B27268" w:rsidRPr="00B27268" w:rsidRDefault="00B27268" w:rsidP="00B27268">
            <w:pPr>
              <w:spacing w:afterAutospacing="0" w:line="51" w:lineRule="atLeast"/>
              <w:jc w:val="right"/>
              <w:rPr>
                <w:rFonts w:ascii="Times New Roman" w:hAnsi="Times New Roman"/>
                <w:bCs w:val="0"/>
                <w:iCs w:val="0"/>
                <w:kern w:val="0"/>
              </w:rPr>
            </w:pPr>
            <w:r w:rsidRPr="00B27268">
              <w:rPr>
                <w:rFonts w:ascii="Times New Roman" w:hAnsi="Times New Roman"/>
                <w:bCs w:val="0"/>
                <w:iCs w:val="0"/>
                <w:color w:val="C00000"/>
                <w:kern w:val="0"/>
                <w:sz w:val="16"/>
                <w:szCs w:val="16"/>
              </w:rPr>
              <w:t> </w:t>
            </w:r>
          </w:p>
        </w:tc>
      </w:tr>
      <w:tr w:rsidR="00B27268" w:rsidRPr="00B27268" w:rsidTr="00B27268">
        <w:trPr>
          <w:trHeight w:val="246"/>
          <w:jc w:val="center"/>
        </w:trPr>
        <w:tc>
          <w:tcPr>
            <w:tcW w:w="1320" w:type="dxa"/>
            <w:vMerge w:val="restart"/>
            <w:tcBorders>
              <w:top w:val="single" w:sz="4" w:space="0" w:color="auto"/>
              <w:left w:val="single" w:sz="4" w:space="0" w:color="auto"/>
              <w:bottom w:val="single" w:sz="4" w:space="0" w:color="auto"/>
              <w:right w:val="single" w:sz="4" w:space="0" w:color="auto"/>
            </w:tcBorders>
            <w:shd w:val="clear" w:color="auto" w:fill="C2D69B"/>
            <w:hideMark/>
          </w:tcPr>
          <w:p w:rsidR="00B27268" w:rsidRPr="00B27268" w:rsidRDefault="00B27268" w:rsidP="00B27268">
            <w:pPr>
              <w:spacing w:afterAutospacing="0"/>
              <w:ind w:right="-165"/>
              <w:rPr>
                <w:rFonts w:ascii="Times New Roman" w:hAnsi="Times New Roman"/>
                <w:bCs w:val="0"/>
                <w:iCs w:val="0"/>
                <w:kern w:val="0"/>
              </w:rPr>
            </w:pPr>
            <w:r w:rsidRPr="00B27268">
              <w:rPr>
                <w:rFonts w:ascii="Times New Roman" w:hAnsi="Times New Roman"/>
                <w:b/>
                <w:iCs w:val="0"/>
                <w:kern w:val="0"/>
                <w:sz w:val="16"/>
                <w:szCs w:val="16"/>
              </w:rPr>
              <w:t> </w:t>
            </w:r>
          </w:p>
          <w:p w:rsidR="00B27268" w:rsidRPr="00B27268" w:rsidRDefault="00B27268" w:rsidP="00B27268">
            <w:pPr>
              <w:spacing w:afterAutospacing="0"/>
              <w:ind w:right="-165"/>
              <w:rPr>
                <w:rFonts w:ascii="Times New Roman" w:hAnsi="Times New Roman"/>
                <w:bCs w:val="0"/>
                <w:iCs w:val="0"/>
                <w:kern w:val="0"/>
              </w:rPr>
            </w:pPr>
            <w:r w:rsidRPr="00B27268">
              <w:rPr>
                <w:rFonts w:ascii="Times New Roman" w:hAnsi="Times New Roman"/>
                <w:b/>
                <w:iCs w:val="0"/>
                <w:kern w:val="0"/>
                <w:sz w:val="16"/>
                <w:szCs w:val="16"/>
              </w:rPr>
              <w:t> </w:t>
            </w:r>
          </w:p>
          <w:p w:rsidR="00B27268" w:rsidRPr="00B27268" w:rsidRDefault="00B27268" w:rsidP="00B27268">
            <w:pPr>
              <w:spacing w:afterAutospacing="0"/>
              <w:ind w:right="-165"/>
              <w:rPr>
                <w:rFonts w:ascii="Times New Roman" w:hAnsi="Times New Roman"/>
                <w:bCs w:val="0"/>
                <w:iCs w:val="0"/>
                <w:kern w:val="0"/>
              </w:rPr>
            </w:pPr>
            <w:r w:rsidRPr="00B27268">
              <w:rPr>
                <w:rFonts w:ascii="Times New Roman" w:hAnsi="Times New Roman"/>
                <w:b/>
                <w:iCs w:val="0"/>
                <w:kern w:val="0"/>
                <w:sz w:val="16"/>
                <w:szCs w:val="16"/>
              </w:rPr>
              <w:t>Società non</w:t>
            </w:r>
          </w:p>
          <w:p w:rsidR="00B27268" w:rsidRPr="00B27268" w:rsidRDefault="00B27268" w:rsidP="00B27268">
            <w:pPr>
              <w:spacing w:afterAutospacing="0"/>
              <w:ind w:right="-165"/>
              <w:rPr>
                <w:rFonts w:ascii="Times New Roman" w:hAnsi="Times New Roman"/>
                <w:bCs w:val="0"/>
                <w:iCs w:val="0"/>
                <w:kern w:val="0"/>
              </w:rPr>
            </w:pPr>
            <w:r w:rsidRPr="00B27268">
              <w:rPr>
                <w:rFonts w:ascii="Times New Roman" w:hAnsi="Times New Roman"/>
                <w:b/>
                <w:iCs w:val="0"/>
                <w:kern w:val="0"/>
                <w:sz w:val="16"/>
                <w:szCs w:val="16"/>
              </w:rPr>
              <w:t>finanziarie</w:t>
            </w:r>
          </w:p>
        </w:tc>
        <w:tc>
          <w:tcPr>
            <w:tcW w:w="33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B27268" w:rsidRPr="00B27268" w:rsidRDefault="00B27268" w:rsidP="00B27268">
            <w:pPr>
              <w:spacing w:afterAutospacing="0"/>
              <w:ind w:right="-165"/>
              <w:rPr>
                <w:rFonts w:ascii="Times New Roman" w:hAnsi="Times New Roman"/>
                <w:bCs w:val="0"/>
                <w:iCs w:val="0"/>
                <w:kern w:val="0"/>
              </w:rPr>
            </w:pPr>
            <w:r w:rsidRPr="00B27268">
              <w:rPr>
                <w:rFonts w:ascii="Times New Roman" w:hAnsi="Times New Roman"/>
                <w:b/>
                <w:iCs w:val="0"/>
                <w:kern w:val="0"/>
                <w:sz w:val="16"/>
                <w:szCs w:val="16"/>
              </w:rPr>
              <w:t>N°</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 </w:t>
            </w:r>
          </w:p>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113.591</w:t>
            </w:r>
          </w:p>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 </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114.767</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99.038</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120.178</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140.707</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176.007</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193.058</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color w:val="C00000"/>
                <w:kern w:val="0"/>
                <w:sz w:val="16"/>
                <w:szCs w:val="16"/>
              </w:rPr>
              <w:t>+70,0 %</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proofErr w:type="spellStart"/>
            <w:r w:rsidRPr="00B27268">
              <w:rPr>
                <w:rFonts w:ascii="Times New Roman" w:hAnsi="Times New Roman"/>
                <w:bCs w:val="0"/>
                <w:iCs w:val="0"/>
                <w:kern w:val="0"/>
                <w:sz w:val="16"/>
                <w:szCs w:val="16"/>
              </w:rPr>
              <w:t>n.r</w:t>
            </w:r>
            <w:proofErr w:type="spellEnd"/>
            <w:r w:rsidRPr="00B27268">
              <w:rPr>
                <w:rFonts w:ascii="Times New Roman" w:hAnsi="Times New Roman"/>
                <w:bCs w:val="0"/>
                <w:iCs w:val="0"/>
                <w:kern w:val="0"/>
                <w:sz w:val="16"/>
                <w:szCs w:val="16"/>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color w:val="C00000"/>
                <w:kern w:val="0"/>
                <w:sz w:val="16"/>
                <w:szCs w:val="16"/>
              </w:rPr>
              <w:t> </w:t>
            </w:r>
          </w:p>
        </w:tc>
      </w:tr>
      <w:tr w:rsidR="00B27268" w:rsidRPr="00B27268" w:rsidTr="00B27268">
        <w:trPr>
          <w:trHeight w:val="24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rPr>
                <w:rFonts w:ascii="Times New Roman" w:hAnsi="Times New Roman"/>
                <w:bCs w:val="0"/>
                <w:iCs w:val="0"/>
                <w:kern w:val="0"/>
              </w:rPr>
            </w:pPr>
          </w:p>
        </w:tc>
        <w:tc>
          <w:tcPr>
            <w:tcW w:w="33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B27268" w:rsidRPr="00B27268" w:rsidRDefault="00B27268" w:rsidP="00B27268">
            <w:pPr>
              <w:spacing w:afterAutospacing="0"/>
              <w:ind w:right="-165"/>
              <w:rPr>
                <w:rFonts w:ascii="Times New Roman" w:hAnsi="Times New Roman"/>
                <w:bCs w:val="0"/>
                <w:iCs w:val="0"/>
                <w:kern w:val="0"/>
              </w:rPr>
            </w:pPr>
            <w:r w:rsidRPr="00B27268">
              <w:rPr>
                <w:rFonts w:ascii="Elephant" w:hAnsi="Elephant"/>
                <w:b/>
                <w:iCs w:val="0"/>
                <w:kern w:val="0"/>
                <w:sz w:val="16"/>
                <w:szCs w:val="16"/>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 </w:t>
            </w:r>
          </w:p>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29,458</w:t>
            </w:r>
          </w:p>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 </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29,212</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25,817</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38,397</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50,415</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69,513</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81,693</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color w:val="C00000"/>
                <w:kern w:val="0"/>
                <w:sz w:val="16"/>
                <w:szCs w:val="16"/>
              </w:rPr>
              <w:t>+177,3 %</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85,415</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color w:val="C00000"/>
                <w:kern w:val="0"/>
                <w:sz w:val="16"/>
                <w:szCs w:val="16"/>
              </w:rPr>
              <w:t>+ 190,0 %</w:t>
            </w:r>
          </w:p>
        </w:tc>
      </w:tr>
      <w:tr w:rsidR="00B27268" w:rsidRPr="00B27268" w:rsidTr="00B27268">
        <w:trPr>
          <w:trHeight w:val="246"/>
          <w:jc w:val="center"/>
        </w:trPr>
        <w:tc>
          <w:tcPr>
            <w:tcW w:w="1320" w:type="dxa"/>
            <w:vMerge w:val="restart"/>
            <w:tcBorders>
              <w:top w:val="single" w:sz="4" w:space="0" w:color="auto"/>
              <w:left w:val="single" w:sz="4" w:space="0" w:color="auto"/>
              <w:bottom w:val="single" w:sz="4" w:space="0" w:color="auto"/>
              <w:right w:val="single" w:sz="4" w:space="0" w:color="auto"/>
            </w:tcBorders>
            <w:shd w:val="clear" w:color="auto" w:fill="C2D69B"/>
            <w:hideMark/>
          </w:tcPr>
          <w:p w:rsidR="00B27268" w:rsidRPr="00B27268" w:rsidRDefault="00B27268" w:rsidP="00B27268">
            <w:pPr>
              <w:spacing w:afterAutospacing="0"/>
              <w:ind w:right="-23"/>
              <w:rPr>
                <w:rFonts w:ascii="Times New Roman" w:hAnsi="Times New Roman"/>
                <w:bCs w:val="0"/>
                <w:iCs w:val="0"/>
                <w:kern w:val="0"/>
              </w:rPr>
            </w:pPr>
            <w:r w:rsidRPr="00B27268">
              <w:rPr>
                <w:rFonts w:ascii="Times New Roman" w:hAnsi="Times New Roman"/>
                <w:b/>
                <w:iCs w:val="0"/>
                <w:kern w:val="0"/>
                <w:sz w:val="16"/>
                <w:szCs w:val="16"/>
              </w:rPr>
              <w:t> </w:t>
            </w:r>
          </w:p>
          <w:p w:rsidR="00B27268" w:rsidRPr="00B27268" w:rsidRDefault="00B27268" w:rsidP="00B27268">
            <w:pPr>
              <w:spacing w:afterAutospacing="0"/>
              <w:ind w:right="-23"/>
              <w:rPr>
                <w:rFonts w:ascii="Times New Roman" w:hAnsi="Times New Roman"/>
                <w:bCs w:val="0"/>
                <w:iCs w:val="0"/>
                <w:kern w:val="0"/>
              </w:rPr>
            </w:pPr>
            <w:r w:rsidRPr="00B27268">
              <w:rPr>
                <w:rFonts w:ascii="Times New Roman" w:hAnsi="Times New Roman"/>
                <w:b/>
                <w:iCs w:val="0"/>
                <w:kern w:val="0"/>
                <w:sz w:val="16"/>
                <w:szCs w:val="16"/>
              </w:rPr>
              <w:t> </w:t>
            </w:r>
          </w:p>
          <w:p w:rsidR="00B27268" w:rsidRPr="00B27268" w:rsidRDefault="00B27268" w:rsidP="00B27268">
            <w:pPr>
              <w:spacing w:afterAutospacing="0"/>
              <w:ind w:right="-23"/>
              <w:rPr>
                <w:rFonts w:ascii="Times New Roman" w:hAnsi="Times New Roman"/>
                <w:bCs w:val="0"/>
                <w:iCs w:val="0"/>
                <w:kern w:val="0"/>
              </w:rPr>
            </w:pPr>
            <w:r w:rsidRPr="00B27268">
              <w:rPr>
                <w:rFonts w:ascii="Times New Roman" w:hAnsi="Times New Roman"/>
                <w:b/>
                <w:iCs w:val="0"/>
                <w:kern w:val="0"/>
                <w:sz w:val="16"/>
                <w:szCs w:val="16"/>
              </w:rPr>
              <w:t>Famiglie</w:t>
            </w:r>
          </w:p>
          <w:p w:rsidR="00B27268" w:rsidRPr="00B27268" w:rsidRDefault="00B27268" w:rsidP="00B27268">
            <w:pPr>
              <w:spacing w:afterAutospacing="0"/>
              <w:ind w:right="-23"/>
              <w:rPr>
                <w:rFonts w:ascii="Times New Roman" w:hAnsi="Times New Roman"/>
                <w:bCs w:val="0"/>
                <w:iCs w:val="0"/>
                <w:kern w:val="0"/>
              </w:rPr>
            </w:pPr>
            <w:r w:rsidRPr="00B27268">
              <w:rPr>
                <w:rFonts w:ascii="Times New Roman" w:hAnsi="Times New Roman"/>
                <w:b/>
                <w:iCs w:val="0"/>
                <w:kern w:val="0"/>
                <w:sz w:val="16"/>
                <w:szCs w:val="16"/>
              </w:rPr>
              <w:t>produttrici</w:t>
            </w:r>
          </w:p>
        </w:tc>
        <w:tc>
          <w:tcPr>
            <w:tcW w:w="33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B27268" w:rsidRPr="00B27268" w:rsidRDefault="00B27268" w:rsidP="00B27268">
            <w:pPr>
              <w:spacing w:afterAutospacing="0"/>
              <w:ind w:right="-165"/>
              <w:rPr>
                <w:rFonts w:ascii="Times New Roman" w:hAnsi="Times New Roman"/>
                <w:bCs w:val="0"/>
                <w:iCs w:val="0"/>
                <w:kern w:val="0"/>
              </w:rPr>
            </w:pPr>
            <w:r w:rsidRPr="00B27268">
              <w:rPr>
                <w:rFonts w:ascii="Times New Roman" w:hAnsi="Times New Roman"/>
                <w:b/>
                <w:iCs w:val="0"/>
                <w:kern w:val="0"/>
                <w:sz w:val="16"/>
                <w:szCs w:val="16"/>
              </w:rPr>
              <w:t>N°</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 </w:t>
            </w:r>
          </w:p>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98.085</w:t>
            </w:r>
          </w:p>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 </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102.366</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91.843</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107.956</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124.867</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152.657</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163.898</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color w:val="C00000"/>
                <w:kern w:val="0"/>
                <w:sz w:val="16"/>
                <w:szCs w:val="16"/>
              </w:rPr>
              <w:t>+67,1 %</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proofErr w:type="spellStart"/>
            <w:r w:rsidRPr="00B27268">
              <w:rPr>
                <w:rFonts w:ascii="Times New Roman" w:hAnsi="Times New Roman"/>
                <w:bCs w:val="0"/>
                <w:iCs w:val="0"/>
                <w:kern w:val="0"/>
                <w:sz w:val="16"/>
                <w:szCs w:val="16"/>
              </w:rPr>
              <w:t>n.r</w:t>
            </w:r>
            <w:proofErr w:type="spellEnd"/>
            <w:r w:rsidRPr="00B27268">
              <w:rPr>
                <w:rFonts w:ascii="Times New Roman" w:hAnsi="Times New Roman"/>
                <w:bCs w:val="0"/>
                <w:iCs w:val="0"/>
                <w:kern w:val="0"/>
                <w:sz w:val="16"/>
                <w:szCs w:val="16"/>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color w:val="C00000"/>
                <w:kern w:val="0"/>
                <w:sz w:val="16"/>
                <w:szCs w:val="16"/>
              </w:rPr>
              <w:t> </w:t>
            </w:r>
          </w:p>
        </w:tc>
      </w:tr>
      <w:tr w:rsidR="00B27268" w:rsidRPr="00B27268" w:rsidTr="00B27268">
        <w:trPr>
          <w:trHeight w:val="24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rPr>
                <w:rFonts w:ascii="Times New Roman" w:hAnsi="Times New Roman"/>
                <w:bCs w:val="0"/>
                <w:iCs w:val="0"/>
                <w:kern w:val="0"/>
              </w:rPr>
            </w:pPr>
          </w:p>
        </w:tc>
        <w:tc>
          <w:tcPr>
            <w:tcW w:w="33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B27268" w:rsidRPr="00B27268" w:rsidRDefault="00B27268" w:rsidP="00B27268">
            <w:pPr>
              <w:spacing w:afterAutospacing="0"/>
              <w:ind w:right="-23"/>
              <w:rPr>
                <w:rFonts w:ascii="Times New Roman" w:hAnsi="Times New Roman"/>
                <w:bCs w:val="0"/>
                <w:iCs w:val="0"/>
                <w:kern w:val="0"/>
              </w:rPr>
            </w:pPr>
            <w:r w:rsidRPr="00B27268">
              <w:rPr>
                <w:rFonts w:ascii="Elephant" w:hAnsi="Elephant"/>
                <w:b/>
                <w:iCs w:val="0"/>
                <w:kern w:val="0"/>
                <w:sz w:val="16"/>
                <w:szCs w:val="16"/>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 </w:t>
            </w:r>
          </w:p>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6,280</w:t>
            </w:r>
          </w:p>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 </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6,048</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5,344</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6,675</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8,010</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10,610</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11.754</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color w:val="C00000"/>
                <w:kern w:val="0"/>
                <w:sz w:val="16"/>
                <w:szCs w:val="16"/>
              </w:rPr>
              <w:t>+87,2 %</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11,765</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color w:val="C00000"/>
                <w:kern w:val="0"/>
                <w:sz w:val="16"/>
                <w:szCs w:val="16"/>
              </w:rPr>
              <w:t>+ 87,3 %</w:t>
            </w:r>
          </w:p>
        </w:tc>
      </w:tr>
      <w:tr w:rsidR="00B27268" w:rsidRPr="00B27268" w:rsidTr="00B27268">
        <w:trPr>
          <w:trHeight w:val="246"/>
          <w:jc w:val="center"/>
        </w:trPr>
        <w:tc>
          <w:tcPr>
            <w:tcW w:w="1320" w:type="dxa"/>
            <w:vMerge w:val="restart"/>
            <w:tcBorders>
              <w:top w:val="single" w:sz="4" w:space="0" w:color="auto"/>
              <w:left w:val="single" w:sz="4" w:space="0" w:color="auto"/>
              <w:bottom w:val="single" w:sz="4" w:space="0" w:color="auto"/>
              <w:right w:val="single" w:sz="4" w:space="0" w:color="auto"/>
            </w:tcBorders>
            <w:shd w:val="clear" w:color="auto" w:fill="C2D69B"/>
            <w:hideMark/>
          </w:tcPr>
          <w:p w:rsidR="00B27268" w:rsidRPr="00B27268" w:rsidRDefault="00B27268" w:rsidP="00B27268">
            <w:pPr>
              <w:spacing w:afterAutospacing="0"/>
              <w:ind w:right="-23"/>
              <w:rPr>
                <w:rFonts w:ascii="Times New Roman" w:hAnsi="Times New Roman"/>
                <w:bCs w:val="0"/>
                <w:iCs w:val="0"/>
                <w:kern w:val="0"/>
              </w:rPr>
            </w:pPr>
            <w:r w:rsidRPr="00B27268">
              <w:rPr>
                <w:rFonts w:ascii="Times New Roman" w:hAnsi="Times New Roman"/>
                <w:b/>
                <w:iCs w:val="0"/>
                <w:kern w:val="0"/>
                <w:sz w:val="16"/>
                <w:szCs w:val="16"/>
              </w:rPr>
              <w:t> </w:t>
            </w:r>
          </w:p>
          <w:p w:rsidR="00B27268" w:rsidRPr="00B27268" w:rsidRDefault="00B27268" w:rsidP="00B27268">
            <w:pPr>
              <w:spacing w:afterAutospacing="0"/>
              <w:ind w:right="-23"/>
              <w:rPr>
                <w:rFonts w:ascii="Times New Roman" w:hAnsi="Times New Roman"/>
                <w:bCs w:val="0"/>
                <w:iCs w:val="0"/>
                <w:kern w:val="0"/>
              </w:rPr>
            </w:pPr>
            <w:r w:rsidRPr="00B27268">
              <w:rPr>
                <w:rFonts w:ascii="Times New Roman" w:hAnsi="Times New Roman"/>
                <w:b/>
                <w:iCs w:val="0"/>
                <w:kern w:val="0"/>
                <w:sz w:val="16"/>
                <w:szCs w:val="16"/>
              </w:rPr>
              <w:t> </w:t>
            </w:r>
          </w:p>
          <w:p w:rsidR="00B27268" w:rsidRPr="00B27268" w:rsidRDefault="00B27268" w:rsidP="00B27268">
            <w:pPr>
              <w:spacing w:afterAutospacing="0"/>
              <w:ind w:right="-23"/>
              <w:rPr>
                <w:rFonts w:ascii="Times New Roman" w:hAnsi="Times New Roman"/>
                <w:bCs w:val="0"/>
                <w:iCs w:val="0"/>
                <w:kern w:val="0"/>
              </w:rPr>
            </w:pPr>
            <w:r w:rsidRPr="00B27268">
              <w:rPr>
                <w:rFonts w:ascii="Times New Roman" w:hAnsi="Times New Roman"/>
                <w:b/>
                <w:iCs w:val="0"/>
                <w:kern w:val="0"/>
                <w:sz w:val="16"/>
                <w:szCs w:val="16"/>
              </w:rPr>
              <w:t>Famiglie</w:t>
            </w:r>
          </w:p>
          <w:p w:rsidR="00B27268" w:rsidRPr="00B27268" w:rsidRDefault="00B27268" w:rsidP="00B27268">
            <w:pPr>
              <w:spacing w:afterAutospacing="0"/>
              <w:ind w:right="-23"/>
              <w:rPr>
                <w:rFonts w:ascii="Times New Roman" w:hAnsi="Times New Roman"/>
                <w:bCs w:val="0"/>
                <w:iCs w:val="0"/>
                <w:kern w:val="0"/>
              </w:rPr>
            </w:pPr>
            <w:r w:rsidRPr="00B27268">
              <w:rPr>
                <w:rFonts w:ascii="Times New Roman" w:hAnsi="Times New Roman"/>
                <w:b/>
                <w:iCs w:val="0"/>
                <w:kern w:val="0"/>
                <w:sz w:val="16"/>
                <w:szCs w:val="16"/>
              </w:rPr>
              <w:t>consumatrici</w:t>
            </w:r>
          </w:p>
        </w:tc>
        <w:tc>
          <w:tcPr>
            <w:tcW w:w="33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B27268" w:rsidRPr="00B27268" w:rsidRDefault="00B27268" w:rsidP="00B27268">
            <w:pPr>
              <w:spacing w:afterAutospacing="0"/>
              <w:ind w:right="-165"/>
              <w:rPr>
                <w:rFonts w:ascii="Times New Roman" w:hAnsi="Times New Roman"/>
                <w:bCs w:val="0"/>
                <w:iCs w:val="0"/>
                <w:kern w:val="0"/>
              </w:rPr>
            </w:pPr>
            <w:r w:rsidRPr="00B27268">
              <w:rPr>
                <w:rFonts w:ascii="Times New Roman" w:hAnsi="Times New Roman"/>
                <w:b/>
                <w:iCs w:val="0"/>
                <w:kern w:val="0"/>
                <w:sz w:val="16"/>
                <w:szCs w:val="16"/>
              </w:rPr>
              <w:t>N°</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 </w:t>
            </w:r>
          </w:p>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382.975</w:t>
            </w:r>
          </w:p>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 </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437.520</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397.230</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490.429</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595.026</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727.913</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752.935</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color w:val="C00000"/>
                <w:kern w:val="0"/>
                <w:sz w:val="16"/>
                <w:szCs w:val="16"/>
              </w:rPr>
              <w:t>+96,6 %</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proofErr w:type="spellStart"/>
            <w:r w:rsidRPr="00B27268">
              <w:rPr>
                <w:rFonts w:ascii="Times New Roman" w:hAnsi="Times New Roman"/>
                <w:bCs w:val="0"/>
                <w:iCs w:val="0"/>
                <w:kern w:val="0"/>
                <w:sz w:val="16"/>
                <w:szCs w:val="16"/>
              </w:rPr>
              <w:t>n.r</w:t>
            </w:r>
            <w:proofErr w:type="spellEnd"/>
            <w:r w:rsidRPr="00B27268">
              <w:rPr>
                <w:rFonts w:ascii="Times New Roman" w:hAnsi="Times New Roman"/>
                <w:bCs w:val="0"/>
                <w:iCs w:val="0"/>
                <w:kern w:val="0"/>
                <w:sz w:val="16"/>
                <w:szCs w:val="16"/>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color w:val="C00000"/>
                <w:kern w:val="0"/>
                <w:sz w:val="16"/>
                <w:szCs w:val="16"/>
              </w:rPr>
              <w:t> </w:t>
            </w:r>
          </w:p>
        </w:tc>
      </w:tr>
      <w:tr w:rsidR="00B27268" w:rsidRPr="00B27268" w:rsidTr="00B27268">
        <w:trPr>
          <w:trHeight w:val="24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rPr>
                <w:rFonts w:ascii="Times New Roman" w:hAnsi="Times New Roman"/>
                <w:bCs w:val="0"/>
                <w:iCs w:val="0"/>
                <w:kern w:val="0"/>
              </w:rPr>
            </w:pPr>
          </w:p>
        </w:tc>
        <w:tc>
          <w:tcPr>
            <w:tcW w:w="330"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B27268" w:rsidRPr="00B27268" w:rsidRDefault="00B27268" w:rsidP="00B27268">
            <w:pPr>
              <w:spacing w:afterAutospacing="0"/>
              <w:ind w:right="-23"/>
              <w:rPr>
                <w:rFonts w:ascii="Times New Roman" w:hAnsi="Times New Roman"/>
                <w:bCs w:val="0"/>
                <w:iCs w:val="0"/>
                <w:kern w:val="0"/>
              </w:rPr>
            </w:pPr>
            <w:r w:rsidRPr="00B27268">
              <w:rPr>
                <w:rFonts w:ascii="Elephant" w:hAnsi="Elephant"/>
                <w:b/>
                <w:iCs w:val="0"/>
                <w:kern w:val="0"/>
                <w:sz w:val="16"/>
                <w:szCs w:val="16"/>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 </w:t>
            </w:r>
          </w:p>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10,139</w:t>
            </w:r>
          </w:p>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 </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10,698</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9,283</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12,790</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16,538</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22,970</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26,248</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color w:val="C00000"/>
                <w:kern w:val="0"/>
                <w:sz w:val="16"/>
                <w:szCs w:val="16"/>
              </w:rPr>
              <w:t>+158,9 %</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6"/>
                <w:szCs w:val="16"/>
              </w:rPr>
              <w:t>28,804</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color w:val="C00000"/>
                <w:kern w:val="0"/>
                <w:sz w:val="16"/>
                <w:szCs w:val="16"/>
              </w:rPr>
              <w:t>+ 184,1 %</w:t>
            </w:r>
          </w:p>
        </w:tc>
      </w:tr>
    </w:tbl>
    <w:p w:rsidR="00B27268" w:rsidRPr="00B27268" w:rsidRDefault="00B27268" w:rsidP="00B27268">
      <w:pPr>
        <w:spacing w:before="100" w:beforeAutospacing="1" w:after="100"/>
        <w:jc w:val="center"/>
        <w:rPr>
          <w:rFonts w:ascii="Times New Roman" w:hAnsi="Times New Roman"/>
          <w:bCs w:val="0"/>
          <w:iCs w:val="0"/>
          <w:kern w:val="0"/>
        </w:rPr>
      </w:pPr>
      <w:r w:rsidRPr="00B27268">
        <w:rPr>
          <w:rFonts w:ascii="Times New Roman" w:hAnsi="Times New Roman"/>
          <w:bCs w:val="0"/>
          <w:iCs w:val="0"/>
          <w:kern w:val="0"/>
        </w:rPr>
        <w:t>  </w:t>
      </w:r>
    </w:p>
    <w:p w:rsidR="00B27268" w:rsidRPr="00B27268" w:rsidRDefault="00B27268" w:rsidP="00B27268">
      <w:pPr>
        <w:spacing w:before="100" w:beforeAutospacing="1" w:after="100"/>
        <w:jc w:val="center"/>
        <w:rPr>
          <w:rFonts w:ascii="Times New Roman" w:hAnsi="Times New Roman"/>
          <w:bCs w:val="0"/>
          <w:iCs w:val="0"/>
          <w:kern w:val="0"/>
        </w:rPr>
      </w:pPr>
      <w:r w:rsidRPr="00B27268">
        <w:rPr>
          <w:rFonts w:ascii="Times New Roman" w:hAnsi="Times New Roman"/>
          <w:b/>
          <w:iCs w:val="0"/>
          <w:kern w:val="0"/>
        </w:rPr>
        <w:t>L’andamento da dicembre 2012 a febbraio 2013.</w:t>
      </w:r>
    </w:p>
    <w:p w:rsidR="00B27268" w:rsidRPr="00B27268" w:rsidRDefault="00B27268" w:rsidP="00B27268">
      <w:pPr>
        <w:widowControl w:val="0"/>
        <w:spacing w:before="100" w:beforeAutospacing="1" w:after="100" w:line="276" w:lineRule="auto"/>
        <w:jc w:val="both"/>
        <w:rPr>
          <w:rFonts w:ascii="Times New Roman" w:hAnsi="Times New Roman"/>
          <w:bCs w:val="0"/>
          <w:iCs w:val="0"/>
          <w:kern w:val="0"/>
        </w:rPr>
      </w:pPr>
      <w:r w:rsidRPr="00B27268">
        <w:rPr>
          <w:rFonts w:ascii="Times New Roman" w:hAnsi="Times New Roman"/>
          <w:bCs w:val="0"/>
          <w:iCs w:val="0"/>
          <w:kern w:val="0"/>
          <w:sz w:val="22"/>
        </w:rPr>
        <w:t xml:space="preserve">I valori delle sofferenze (Tabella seguente) continuano ad impennarsi anche nei primi due mesi del 2013. Il livello complessivo ha infatti raggiunto, a fine febbraio, i 127,655 miliardi di euro con un aumento del 2,1 percento. In particolare per le famiglie consumatrici l’aumento registrato da dicembre dell’anno passato a febbraio è pari al +9,7 per cento; mentre per le aziende l’incremento è stato pari al 4,5 percento. Più moderata la crescita delle sofferenze delle famiglie produttrici, aumentate solo dello 0,1 percento( da 11,754 miliardi di dicembre, a 11,765 miliardi di febbraio 2013). Per contribuire a superare la </w:t>
      </w:r>
      <w:proofErr w:type="spellStart"/>
      <w:r w:rsidRPr="00B27268">
        <w:rPr>
          <w:rFonts w:ascii="Times New Roman" w:hAnsi="Times New Roman"/>
          <w:bCs w:val="0"/>
          <w:iCs w:val="0"/>
          <w:kern w:val="0"/>
          <w:sz w:val="22"/>
        </w:rPr>
        <w:t>crisi,le</w:t>
      </w:r>
      <w:proofErr w:type="spellEnd"/>
      <w:r w:rsidRPr="00B27268">
        <w:rPr>
          <w:rFonts w:ascii="Times New Roman" w:hAnsi="Times New Roman"/>
          <w:bCs w:val="0"/>
          <w:iCs w:val="0"/>
          <w:kern w:val="0"/>
          <w:sz w:val="22"/>
        </w:rPr>
        <w:t xml:space="preserve"> banche devono migliorare la “</w:t>
      </w:r>
      <w:proofErr w:type="spellStart"/>
      <w:r w:rsidRPr="00B27268">
        <w:rPr>
          <w:rFonts w:ascii="Times New Roman" w:hAnsi="Times New Roman"/>
          <w:bCs w:val="0"/>
          <w:iCs w:val="0"/>
          <w:kern w:val="0"/>
          <w:sz w:val="22"/>
        </w:rPr>
        <w:t>meritorietà</w:t>
      </w:r>
      <w:proofErr w:type="spellEnd"/>
      <w:r w:rsidRPr="00B27268">
        <w:rPr>
          <w:rFonts w:ascii="Times New Roman" w:hAnsi="Times New Roman"/>
          <w:bCs w:val="0"/>
          <w:iCs w:val="0"/>
          <w:kern w:val="0"/>
          <w:sz w:val="22"/>
        </w:rPr>
        <w:t xml:space="preserve">” del credito, evitando di continuare ad affidare con miliardi di euro le solite aziende decotte, non perché hanno la capacità di restituzione, ma </w:t>
      </w:r>
      <w:proofErr w:type="spellStart"/>
      <w:r w:rsidRPr="00B27268">
        <w:rPr>
          <w:rFonts w:ascii="Times New Roman" w:hAnsi="Times New Roman"/>
          <w:bCs w:val="0"/>
          <w:iCs w:val="0"/>
          <w:kern w:val="0"/>
          <w:sz w:val="22"/>
        </w:rPr>
        <w:t>perchè</w:t>
      </w:r>
      <w:proofErr w:type="spellEnd"/>
      <w:r w:rsidRPr="00B27268">
        <w:rPr>
          <w:rFonts w:ascii="Times New Roman" w:hAnsi="Times New Roman"/>
          <w:bCs w:val="0"/>
          <w:iCs w:val="0"/>
          <w:kern w:val="0"/>
          <w:sz w:val="22"/>
        </w:rPr>
        <w:t xml:space="preserve"> facenti parte dei “patti di sindacato”, erogando il credito ad aziende più meritevoli a secco di liquidità costrette a licenziare o chiudere l’intrapresa.</w:t>
      </w:r>
    </w:p>
    <w:p w:rsidR="00B27268" w:rsidRPr="00B27268" w:rsidRDefault="00B27268" w:rsidP="00B27268">
      <w:pPr>
        <w:spacing w:before="100" w:beforeAutospacing="1" w:after="100"/>
        <w:jc w:val="center"/>
        <w:rPr>
          <w:rFonts w:ascii="Times New Roman" w:hAnsi="Times New Roman"/>
          <w:bCs w:val="0"/>
          <w:iCs w:val="0"/>
          <w:kern w:val="0"/>
        </w:rPr>
      </w:pPr>
      <w:r w:rsidRPr="00B27268">
        <w:rPr>
          <w:rFonts w:ascii="Times New Roman" w:hAnsi="Times New Roman"/>
          <w:bCs w:val="0"/>
          <w:iCs w:val="0"/>
          <w:kern w:val="0"/>
        </w:rPr>
        <w:t> </w:t>
      </w:r>
    </w:p>
    <w:p w:rsidR="00B27268" w:rsidRPr="00B27268" w:rsidRDefault="00B27268" w:rsidP="00B27268">
      <w:pPr>
        <w:spacing w:afterAutospacing="0"/>
        <w:jc w:val="center"/>
        <w:rPr>
          <w:rFonts w:ascii="Times New Roman" w:hAnsi="Times New Roman"/>
          <w:bCs w:val="0"/>
          <w:iCs w:val="0"/>
          <w:kern w:val="0"/>
        </w:rPr>
      </w:pPr>
      <w:r w:rsidRPr="00B27268">
        <w:rPr>
          <w:rFonts w:ascii="Times New Roman" w:hAnsi="Times New Roman"/>
          <w:bCs w:val="0"/>
          <w:iCs w:val="0"/>
          <w:kern w:val="0"/>
        </w:rPr>
        <w:t> </w:t>
      </w:r>
    </w:p>
    <w:p w:rsidR="00B27268" w:rsidRPr="00B27268" w:rsidRDefault="00B27268" w:rsidP="00B27268">
      <w:pPr>
        <w:spacing w:afterAutospacing="0"/>
        <w:jc w:val="center"/>
        <w:rPr>
          <w:rFonts w:ascii="Times New Roman" w:hAnsi="Times New Roman"/>
          <w:bCs w:val="0"/>
          <w:iCs w:val="0"/>
          <w:kern w:val="0"/>
        </w:rPr>
      </w:pPr>
      <w:r w:rsidRPr="00B27268">
        <w:rPr>
          <w:rFonts w:ascii="Times New Roman" w:hAnsi="Times New Roman"/>
          <w:b/>
          <w:iCs w:val="0"/>
          <w:kern w:val="0"/>
          <w:sz w:val="22"/>
        </w:rPr>
        <w:t>SOFFERENZE BANCARIE ANDAMENTO PRIMI DUE MESI 2013.</w:t>
      </w:r>
    </w:p>
    <w:p w:rsidR="00B27268" w:rsidRPr="00B27268" w:rsidRDefault="00B27268" w:rsidP="00B27268">
      <w:pPr>
        <w:spacing w:afterAutospacing="0"/>
        <w:jc w:val="center"/>
        <w:rPr>
          <w:rFonts w:ascii="Times New Roman" w:hAnsi="Times New Roman"/>
          <w:bCs w:val="0"/>
          <w:iCs w:val="0"/>
          <w:kern w:val="0"/>
        </w:rPr>
      </w:pPr>
      <w:r w:rsidRPr="00B27268">
        <w:rPr>
          <w:rFonts w:ascii="Times New Roman" w:hAnsi="Times New Roman"/>
          <w:b/>
          <w:iCs w:val="0"/>
          <w:kern w:val="0"/>
          <w:sz w:val="22"/>
        </w:rPr>
        <w:t xml:space="preserve">Fonte: Bollettini Statistici </w:t>
      </w:r>
      <w:proofErr w:type="spellStart"/>
      <w:r w:rsidRPr="00B27268">
        <w:rPr>
          <w:rFonts w:ascii="Times New Roman" w:hAnsi="Times New Roman"/>
          <w:b/>
          <w:iCs w:val="0"/>
          <w:kern w:val="0"/>
          <w:sz w:val="22"/>
        </w:rPr>
        <w:t>Bankitalia</w:t>
      </w:r>
      <w:proofErr w:type="spellEnd"/>
      <w:r w:rsidRPr="00B27268">
        <w:rPr>
          <w:rFonts w:ascii="Times New Roman" w:hAnsi="Times New Roman"/>
          <w:bCs w:val="0"/>
          <w:iCs w:val="0"/>
          <w:kern w:val="0"/>
          <w:sz w:val="22"/>
        </w:rPr>
        <w:t xml:space="preserve"> </w:t>
      </w:r>
      <w:r w:rsidRPr="00B27268">
        <w:rPr>
          <w:rFonts w:ascii="Times New Roman" w:hAnsi="Times New Roman"/>
          <w:b/>
          <w:iCs w:val="0"/>
          <w:kern w:val="0"/>
          <w:sz w:val="20"/>
        </w:rPr>
        <w:t>Elaborazioni Mauro Novelli Segretario Adusbef</w:t>
      </w:r>
      <w:r w:rsidRPr="00B27268">
        <w:rPr>
          <w:rFonts w:ascii="Times New Roman" w:hAnsi="Times New Roman"/>
          <w:b/>
          <w:iCs w:val="0"/>
          <w:kern w:val="0"/>
          <w:sz w:val="22"/>
        </w:rPr>
        <w:t>.</w:t>
      </w:r>
    </w:p>
    <w:p w:rsidR="00B27268" w:rsidRPr="00B27268" w:rsidRDefault="00B27268" w:rsidP="00B27268">
      <w:pPr>
        <w:spacing w:afterAutospacing="0"/>
        <w:jc w:val="center"/>
        <w:rPr>
          <w:rFonts w:ascii="Times New Roman" w:hAnsi="Times New Roman"/>
          <w:bCs w:val="0"/>
          <w:iCs w:val="0"/>
          <w:kern w:val="0"/>
        </w:rPr>
      </w:pPr>
      <w:r w:rsidRPr="00B27268">
        <w:rPr>
          <w:rFonts w:ascii="Times New Roman" w:hAnsi="Times New Roman"/>
          <w:bCs w:val="0"/>
          <w:iCs w:val="0"/>
          <w:kern w:val="0"/>
          <w:sz w:val="22"/>
        </w:rPr>
        <w:t xml:space="preserve">(importi in miliardi di euro). </w:t>
      </w:r>
    </w:p>
    <w:p w:rsidR="00B27268" w:rsidRPr="00B27268" w:rsidRDefault="00B27268" w:rsidP="00B27268">
      <w:pPr>
        <w:spacing w:afterAutospacing="0"/>
        <w:jc w:val="center"/>
        <w:rPr>
          <w:rFonts w:ascii="Times New Roman" w:hAnsi="Times New Roman"/>
          <w:bCs w:val="0"/>
          <w:iCs w:val="0"/>
          <w:kern w:val="0"/>
        </w:rPr>
      </w:pPr>
      <w:r w:rsidRPr="00B27268">
        <w:rPr>
          <w:rFonts w:ascii="Times New Roman" w:hAnsi="Times New Roman"/>
          <w:bCs w:val="0"/>
          <w:iCs w:val="0"/>
          <w:kern w:val="0"/>
        </w:rPr>
        <w:t> </w:t>
      </w:r>
    </w:p>
    <w:tbl>
      <w:tblPr>
        <w:tblW w:w="0" w:type="auto"/>
        <w:jc w:val="center"/>
        <w:tblInd w:w="-1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9"/>
        <w:gridCol w:w="1003"/>
        <w:gridCol w:w="883"/>
        <w:gridCol w:w="942"/>
      </w:tblGrid>
      <w:tr w:rsidR="00B27268" w:rsidRPr="00B27268" w:rsidTr="00B27268">
        <w:trPr>
          <w:trHeight w:val="246"/>
          <w:jc w:val="center"/>
        </w:trPr>
        <w:tc>
          <w:tcPr>
            <w:tcW w:w="2279" w:type="dxa"/>
            <w:tcBorders>
              <w:top w:val="single" w:sz="4" w:space="0" w:color="auto"/>
              <w:left w:val="single" w:sz="4" w:space="0" w:color="auto"/>
              <w:bottom w:val="single" w:sz="4" w:space="0" w:color="auto"/>
              <w:right w:val="single" w:sz="4" w:space="0" w:color="auto"/>
            </w:tcBorders>
            <w:shd w:val="clear" w:color="auto" w:fill="C2D69B"/>
            <w:vAlign w:val="center"/>
            <w:hideMark/>
          </w:tcPr>
          <w:p w:rsidR="00B27268" w:rsidRPr="00B27268" w:rsidRDefault="00B27268" w:rsidP="00B27268">
            <w:pPr>
              <w:spacing w:afterAutospacing="0"/>
              <w:ind w:right="-23"/>
              <w:jc w:val="center"/>
              <w:rPr>
                <w:rFonts w:ascii="Times New Roman" w:hAnsi="Times New Roman"/>
                <w:bCs w:val="0"/>
                <w:iCs w:val="0"/>
                <w:kern w:val="0"/>
              </w:rPr>
            </w:pPr>
            <w:r w:rsidRPr="00B27268">
              <w:rPr>
                <w:rFonts w:ascii="Times New Roman" w:hAnsi="Times New Roman"/>
                <w:b/>
                <w:iCs w:val="0"/>
                <w:kern w:val="0"/>
              </w:rPr>
              <w:t> </w:t>
            </w:r>
          </w:p>
        </w:tc>
        <w:tc>
          <w:tcPr>
            <w:tcW w:w="0" w:type="auto"/>
            <w:tcBorders>
              <w:top w:val="single" w:sz="4" w:space="0" w:color="auto"/>
              <w:left w:val="single" w:sz="4" w:space="0" w:color="auto"/>
              <w:bottom w:val="single" w:sz="4" w:space="0" w:color="auto"/>
              <w:right w:val="single" w:sz="4" w:space="0" w:color="auto"/>
            </w:tcBorders>
            <w:shd w:val="clear" w:color="auto" w:fill="C2D69B"/>
            <w:vAlign w:val="center"/>
            <w:hideMark/>
          </w:tcPr>
          <w:p w:rsidR="00B27268" w:rsidRPr="00B27268" w:rsidRDefault="00B27268" w:rsidP="00B27268">
            <w:pPr>
              <w:spacing w:afterAutospacing="0"/>
              <w:jc w:val="center"/>
              <w:rPr>
                <w:rFonts w:ascii="Times New Roman" w:hAnsi="Times New Roman"/>
                <w:bCs w:val="0"/>
                <w:iCs w:val="0"/>
                <w:kern w:val="0"/>
              </w:rPr>
            </w:pPr>
            <w:r w:rsidRPr="00B27268">
              <w:rPr>
                <w:rFonts w:ascii="Times New Roman" w:hAnsi="Times New Roman"/>
                <w:b/>
                <w:iCs w:val="0"/>
                <w:kern w:val="0"/>
              </w:rPr>
              <w:t>12/2012</w:t>
            </w:r>
          </w:p>
        </w:tc>
        <w:tc>
          <w:tcPr>
            <w:tcW w:w="0" w:type="auto"/>
            <w:tcBorders>
              <w:top w:val="single" w:sz="4" w:space="0" w:color="auto"/>
              <w:left w:val="single" w:sz="4" w:space="0" w:color="auto"/>
              <w:bottom w:val="single" w:sz="4" w:space="0" w:color="auto"/>
              <w:right w:val="single" w:sz="4" w:space="0" w:color="auto"/>
            </w:tcBorders>
            <w:shd w:val="clear" w:color="auto" w:fill="C2D69B"/>
            <w:vAlign w:val="center"/>
            <w:hideMark/>
          </w:tcPr>
          <w:p w:rsidR="00B27268" w:rsidRPr="00B27268" w:rsidRDefault="00B27268" w:rsidP="00B27268">
            <w:pPr>
              <w:spacing w:afterAutospacing="0"/>
              <w:jc w:val="center"/>
              <w:rPr>
                <w:rFonts w:ascii="Times New Roman" w:hAnsi="Times New Roman"/>
                <w:bCs w:val="0"/>
                <w:iCs w:val="0"/>
                <w:kern w:val="0"/>
              </w:rPr>
            </w:pPr>
            <w:r w:rsidRPr="00B27268">
              <w:rPr>
                <w:rFonts w:ascii="Times New Roman" w:hAnsi="Times New Roman"/>
                <w:b/>
                <w:iCs w:val="0"/>
                <w:kern w:val="0"/>
              </w:rPr>
              <w:t>2/2013</w:t>
            </w:r>
          </w:p>
        </w:tc>
        <w:tc>
          <w:tcPr>
            <w:tcW w:w="0" w:type="auto"/>
            <w:tcBorders>
              <w:top w:val="single" w:sz="4" w:space="0" w:color="auto"/>
              <w:left w:val="single" w:sz="4" w:space="0" w:color="auto"/>
              <w:bottom w:val="single" w:sz="4" w:space="0" w:color="auto"/>
              <w:right w:val="single" w:sz="4" w:space="0" w:color="auto"/>
            </w:tcBorders>
            <w:shd w:val="clear" w:color="auto" w:fill="C2D69B"/>
            <w:hideMark/>
          </w:tcPr>
          <w:p w:rsidR="00B27268" w:rsidRPr="00B27268" w:rsidRDefault="00B27268" w:rsidP="00B27268">
            <w:pPr>
              <w:spacing w:afterAutospacing="0"/>
              <w:jc w:val="center"/>
              <w:rPr>
                <w:rFonts w:ascii="Times New Roman" w:hAnsi="Times New Roman"/>
                <w:bCs w:val="0"/>
                <w:iCs w:val="0"/>
                <w:kern w:val="0"/>
              </w:rPr>
            </w:pPr>
            <w:r w:rsidRPr="00B27268">
              <w:rPr>
                <w:rFonts w:ascii="Times New Roman" w:hAnsi="Times New Roman"/>
                <w:b/>
                <w:iCs w:val="0"/>
                <w:color w:val="C00000"/>
                <w:kern w:val="0"/>
                <w:sz w:val="18"/>
                <w:szCs w:val="20"/>
              </w:rPr>
              <w:t>2-2013 su</w:t>
            </w:r>
          </w:p>
          <w:p w:rsidR="00B27268" w:rsidRPr="00B27268" w:rsidRDefault="00B27268" w:rsidP="00B27268">
            <w:pPr>
              <w:spacing w:afterAutospacing="0"/>
              <w:jc w:val="center"/>
              <w:rPr>
                <w:rFonts w:ascii="Times New Roman" w:hAnsi="Times New Roman"/>
                <w:bCs w:val="0"/>
                <w:iCs w:val="0"/>
                <w:kern w:val="0"/>
              </w:rPr>
            </w:pPr>
            <w:r w:rsidRPr="00B27268">
              <w:rPr>
                <w:rFonts w:ascii="Times New Roman" w:hAnsi="Times New Roman"/>
                <w:b/>
                <w:iCs w:val="0"/>
                <w:color w:val="C00000"/>
                <w:kern w:val="0"/>
                <w:sz w:val="18"/>
                <w:szCs w:val="20"/>
              </w:rPr>
              <w:t>12-2012</w:t>
            </w:r>
          </w:p>
        </w:tc>
      </w:tr>
      <w:tr w:rsidR="00B27268" w:rsidRPr="00B27268" w:rsidTr="00B27268">
        <w:trPr>
          <w:jc w:val="center"/>
        </w:trPr>
        <w:tc>
          <w:tcPr>
            <w:tcW w:w="2279" w:type="dxa"/>
            <w:tcBorders>
              <w:top w:val="single" w:sz="4" w:space="0" w:color="auto"/>
              <w:left w:val="single" w:sz="4" w:space="0" w:color="auto"/>
              <w:bottom w:val="single" w:sz="4" w:space="0" w:color="auto"/>
              <w:right w:val="single" w:sz="4" w:space="0" w:color="auto"/>
            </w:tcBorders>
            <w:shd w:val="clear" w:color="auto" w:fill="C2D69B"/>
            <w:hideMark/>
          </w:tcPr>
          <w:p w:rsidR="00B27268" w:rsidRPr="00B27268" w:rsidRDefault="00B27268" w:rsidP="00B27268">
            <w:pPr>
              <w:spacing w:afterAutospacing="0"/>
              <w:ind w:right="-23"/>
              <w:rPr>
                <w:rFonts w:ascii="Times New Roman" w:hAnsi="Times New Roman"/>
                <w:bCs w:val="0"/>
                <w:iCs w:val="0"/>
                <w:kern w:val="0"/>
              </w:rPr>
            </w:pPr>
            <w:r w:rsidRPr="00B27268">
              <w:rPr>
                <w:rFonts w:ascii="Times New Roman" w:hAnsi="Times New Roman"/>
                <w:b/>
                <w:iCs w:val="0"/>
                <w:kern w:val="0"/>
              </w:rPr>
              <w:t xml:space="preserve">Totale </w:t>
            </w:r>
          </w:p>
          <w:p w:rsidR="00B27268" w:rsidRPr="00B27268" w:rsidRDefault="00B27268" w:rsidP="00B27268">
            <w:pPr>
              <w:spacing w:afterAutospacing="0"/>
              <w:ind w:right="-23"/>
              <w:rPr>
                <w:rFonts w:ascii="Times New Roman" w:hAnsi="Times New Roman"/>
                <w:bCs w:val="0"/>
                <w:iCs w:val="0"/>
                <w:kern w:val="0"/>
              </w:rPr>
            </w:pPr>
            <w:r w:rsidRPr="00B27268">
              <w:rPr>
                <w:rFonts w:ascii="Times New Roman" w:hAnsi="Times New Roman"/>
                <w:b/>
                <w:iCs w:val="0"/>
                <w:kern w:val="0"/>
              </w:rPr>
              <w:t>sofferenze</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jc w:val="right"/>
              <w:rPr>
                <w:rFonts w:ascii="Times New Roman" w:hAnsi="Times New Roman"/>
                <w:bCs w:val="0"/>
                <w:iCs w:val="0"/>
                <w:kern w:val="0"/>
              </w:rPr>
            </w:pPr>
            <w:r w:rsidRPr="00B27268">
              <w:rPr>
                <w:rFonts w:ascii="Times New Roman" w:hAnsi="Times New Roman"/>
                <w:bCs w:val="0"/>
                <w:iCs w:val="0"/>
                <w:kern w:val="0"/>
                <w:sz w:val="18"/>
                <w:szCs w:val="20"/>
              </w:rPr>
              <w:t>124,987</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jc w:val="right"/>
              <w:rPr>
                <w:rFonts w:ascii="Times New Roman" w:hAnsi="Times New Roman"/>
                <w:bCs w:val="0"/>
                <w:iCs w:val="0"/>
                <w:kern w:val="0"/>
              </w:rPr>
            </w:pPr>
            <w:r w:rsidRPr="00B27268">
              <w:rPr>
                <w:rFonts w:ascii="Times New Roman" w:hAnsi="Times New Roman"/>
                <w:bCs w:val="0"/>
                <w:iCs w:val="0"/>
                <w:kern w:val="0"/>
                <w:sz w:val="18"/>
                <w:szCs w:val="20"/>
              </w:rPr>
              <w:t>127,655</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jc w:val="right"/>
              <w:rPr>
                <w:rFonts w:ascii="Times New Roman" w:hAnsi="Times New Roman"/>
                <w:bCs w:val="0"/>
                <w:iCs w:val="0"/>
                <w:kern w:val="0"/>
              </w:rPr>
            </w:pPr>
            <w:r w:rsidRPr="00B27268">
              <w:rPr>
                <w:rFonts w:ascii="Times New Roman" w:hAnsi="Times New Roman"/>
                <w:bCs w:val="0"/>
                <w:iCs w:val="0"/>
                <w:color w:val="C00000"/>
                <w:kern w:val="0"/>
                <w:sz w:val="18"/>
                <w:szCs w:val="20"/>
              </w:rPr>
              <w:t>+ 2,1 %</w:t>
            </w:r>
          </w:p>
        </w:tc>
      </w:tr>
      <w:tr w:rsidR="00B27268" w:rsidRPr="00B27268" w:rsidTr="00B27268">
        <w:trPr>
          <w:trHeight w:val="150"/>
          <w:jc w:val="center"/>
        </w:trPr>
        <w:tc>
          <w:tcPr>
            <w:tcW w:w="2279"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B27268" w:rsidRPr="00B27268" w:rsidRDefault="00B27268" w:rsidP="00B27268">
            <w:pPr>
              <w:spacing w:afterAutospacing="0"/>
              <w:ind w:right="-165"/>
              <w:jc w:val="right"/>
              <w:rPr>
                <w:rFonts w:ascii="Times New Roman" w:hAnsi="Times New Roman"/>
                <w:bCs w:val="0"/>
                <w:iCs w:val="0"/>
                <w:kern w:val="0"/>
              </w:rPr>
            </w:pPr>
            <w:r w:rsidRPr="00B27268">
              <w:rPr>
                <w:rFonts w:ascii="Times New Roman" w:hAnsi="Times New Roman"/>
                <w:b/>
                <w:iCs w:val="0"/>
                <w:kern w:val="0"/>
                <w:sz w:val="18"/>
                <w:szCs w:val="20"/>
              </w:rPr>
              <w:t xml:space="preserve">                  </w:t>
            </w:r>
          </w:p>
          <w:p w:rsidR="00B27268" w:rsidRPr="00B27268" w:rsidRDefault="00B27268" w:rsidP="00B27268">
            <w:pPr>
              <w:spacing w:afterAutospacing="0" w:line="150" w:lineRule="atLeast"/>
              <w:ind w:right="-165"/>
              <w:jc w:val="right"/>
              <w:rPr>
                <w:rFonts w:ascii="Times New Roman" w:hAnsi="Times New Roman"/>
                <w:bCs w:val="0"/>
                <w:iCs w:val="0"/>
                <w:kern w:val="0"/>
              </w:rPr>
            </w:pPr>
            <w:r w:rsidRPr="00B27268">
              <w:rPr>
                <w:rFonts w:ascii="Times New Roman" w:hAnsi="Times New Roman"/>
                <w:b/>
                <w:iCs w:val="0"/>
                <w:kern w:val="0"/>
                <w:sz w:val="18"/>
                <w:szCs w:val="20"/>
              </w:rPr>
              <w:t xml:space="preserve">  </w:t>
            </w:r>
            <w:r w:rsidRPr="00B27268">
              <w:rPr>
                <w:rFonts w:ascii="Times New Roman" w:hAnsi="Times New Roman"/>
                <w:b/>
                <w:iCs w:val="0"/>
                <w:kern w:val="0"/>
              </w:rPr>
              <w:t>Di cui….</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line="150" w:lineRule="atLeast"/>
              <w:jc w:val="right"/>
              <w:rPr>
                <w:rFonts w:ascii="Times New Roman" w:hAnsi="Times New Roman"/>
                <w:bCs w:val="0"/>
                <w:iCs w:val="0"/>
                <w:kern w:val="0"/>
              </w:rPr>
            </w:pPr>
            <w:r w:rsidRPr="00B27268">
              <w:rPr>
                <w:rFonts w:ascii="Times New Roman" w:hAnsi="Times New Roman"/>
                <w:bCs w:val="0"/>
                <w:iCs w:val="0"/>
                <w:kern w:val="0"/>
                <w:sz w:val="18"/>
                <w:szCs w:val="20"/>
              </w:rPr>
              <w:t> </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line="150" w:lineRule="atLeast"/>
              <w:jc w:val="right"/>
              <w:rPr>
                <w:rFonts w:ascii="Times New Roman" w:hAnsi="Times New Roman"/>
                <w:bCs w:val="0"/>
                <w:iCs w:val="0"/>
                <w:kern w:val="0"/>
              </w:rPr>
            </w:pPr>
            <w:r w:rsidRPr="00B27268">
              <w:rPr>
                <w:rFonts w:ascii="Times New Roman" w:hAnsi="Times New Roman"/>
                <w:bCs w:val="0"/>
                <w:iCs w:val="0"/>
                <w:kern w:val="0"/>
                <w:sz w:val="18"/>
                <w:szCs w:val="20"/>
              </w:rPr>
              <w:t> </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line="150" w:lineRule="atLeast"/>
              <w:jc w:val="right"/>
              <w:rPr>
                <w:rFonts w:ascii="Times New Roman" w:hAnsi="Times New Roman"/>
                <w:bCs w:val="0"/>
                <w:iCs w:val="0"/>
                <w:kern w:val="0"/>
              </w:rPr>
            </w:pPr>
            <w:r w:rsidRPr="00B27268">
              <w:rPr>
                <w:rFonts w:ascii="Times New Roman" w:hAnsi="Times New Roman"/>
                <w:bCs w:val="0"/>
                <w:iCs w:val="0"/>
                <w:color w:val="C00000"/>
                <w:kern w:val="0"/>
                <w:sz w:val="18"/>
                <w:szCs w:val="20"/>
              </w:rPr>
              <w:t> </w:t>
            </w:r>
          </w:p>
        </w:tc>
      </w:tr>
      <w:tr w:rsidR="00B27268" w:rsidRPr="00B27268" w:rsidTr="00B27268">
        <w:trPr>
          <w:trHeight w:val="246"/>
          <w:jc w:val="center"/>
        </w:trPr>
        <w:tc>
          <w:tcPr>
            <w:tcW w:w="2279" w:type="dxa"/>
            <w:tcBorders>
              <w:top w:val="single" w:sz="4" w:space="0" w:color="auto"/>
              <w:left w:val="single" w:sz="4" w:space="0" w:color="auto"/>
              <w:bottom w:val="single" w:sz="4" w:space="0" w:color="auto"/>
              <w:right w:val="single" w:sz="4" w:space="0" w:color="auto"/>
            </w:tcBorders>
            <w:shd w:val="clear" w:color="auto" w:fill="C2D69B"/>
            <w:hideMark/>
          </w:tcPr>
          <w:p w:rsidR="00B27268" w:rsidRPr="00B27268" w:rsidRDefault="00B27268" w:rsidP="00B27268">
            <w:pPr>
              <w:spacing w:afterAutospacing="0"/>
              <w:ind w:right="-165"/>
              <w:rPr>
                <w:rFonts w:ascii="Times New Roman" w:hAnsi="Times New Roman"/>
                <w:bCs w:val="0"/>
                <w:iCs w:val="0"/>
                <w:kern w:val="0"/>
              </w:rPr>
            </w:pPr>
            <w:r w:rsidRPr="00B27268">
              <w:rPr>
                <w:rFonts w:ascii="Times New Roman" w:hAnsi="Times New Roman"/>
                <w:b/>
                <w:iCs w:val="0"/>
                <w:kern w:val="0"/>
              </w:rPr>
              <w:t>Società non</w:t>
            </w:r>
          </w:p>
          <w:p w:rsidR="00B27268" w:rsidRPr="00B27268" w:rsidRDefault="00B27268" w:rsidP="00B27268">
            <w:pPr>
              <w:spacing w:afterAutospacing="0"/>
              <w:ind w:right="-165"/>
              <w:rPr>
                <w:rFonts w:ascii="Times New Roman" w:hAnsi="Times New Roman"/>
                <w:bCs w:val="0"/>
                <w:iCs w:val="0"/>
                <w:kern w:val="0"/>
              </w:rPr>
            </w:pPr>
            <w:r w:rsidRPr="00B27268">
              <w:rPr>
                <w:rFonts w:ascii="Times New Roman" w:hAnsi="Times New Roman"/>
                <w:b/>
                <w:iCs w:val="0"/>
                <w:kern w:val="0"/>
              </w:rPr>
              <w:t>finanziarie</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8"/>
                <w:szCs w:val="20"/>
              </w:rPr>
              <w:t>81,693</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8"/>
                <w:szCs w:val="20"/>
              </w:rPr>
              <w:t>85,415</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jc w:val="right"/>
              <w:rPr>
                <w:rFonts w:ascii="Times New Roman" w:hAnsi="Times New Roman"/>
                <w:bCs w:val="0"/>
                <w:iCs w:val="0"/>
                <w:kern w:val="0"/>
              </w:rPr>
            </w:pPr>
            <w:r w:rsidRPr="00B27268">
              <w:rPr>
                <w:rFonts w:ascii="Times New Roman" w:hAnsi="Times New Roman"/>
                <w:bCs w:val="0"/>
                <w:iCs w:val="0"/>
                <w:color w:val="C00000"/>
                <w:kern w:val="0"/>
                <w:sz w:val="18"/>
                <w:szCs w:val="20"/>
              </w:rPr>
              <w:t>+ 4,5 %</w:t>
            </w:r>
          </w:p>
        </w:tc>
      </w:tr>
      <w:tr w:rsidR="00B27268" w:rsidRPr="00B27268" w:rsidTr="00B27268">
        <w:trPr>
          <w:trHeight w:val="246"/>
          <w:jc w:val="center"/>
        </w:trPr>
        <w:tc>
          <w:tcPr>
            <w:tcW w:w="2279" w:type="dxa"/>
            <w:tcBorders>
              <w:top w:val="single" w:sz="4" w:space="0" w:color="auto"/>
              <w:left w:val="single" w:sz="4" w:space="0" w:color="auto"/>
              <w:bottom w:val="single" w:sz="4" w:space="0" w:color="auto"/>
              <w:right w:val="single" w:sz="4" w:space="0" w:color="auto"/>
            </w:tcBorders>
            <w:shd w:val="clear" w:color="auto" w:fill="C2D69B"/>
            <w:hideMark/>
          </w:tcPr>
          <w:p w:rsidR="00B27268" w:rsidRPr="00B27268" w:rsidRDefault="00B27268" w:rsidP="00B27268">
            <w:pPr>
              <w:spacing w:afterAutospacing="0"/>
              <w:ind w:right="-23"/>
              <w:rPr>
                <w:rFonts w:ascii="Times New Roman" w:hAnsi="Times New Roman"/>
                <w:bCs w:val="0"/>
                <w:iCs w:val="0"/>
                <w:kern w:val="0"/>
              </w:rPr>
            </w:pPr>
            <w:r w:rsidRPr="00B27268">
              <w:rPr>
                <w:rFonts w:ascii="Times New Roman" w:hAnsi="Times New Roman"/>
                <w:b/>
                <w:iCs w:val="0"/>
                <w:kern w:val="0"/>
              </w:rPr>
              <w:t>Famiglie</w:t>
            </w:r>
          </w:p>
          <w:p w:rsidR="00B27268" w:rsidRPr="00B27268" w:rsidRDefault="00B27268" w:rsidP="00B27268">
            <w:pPr>
              <w:spacing w:afterAutospacing="0"/>
              <w:ind w:right="-23"/>
              <w:rPr>
                <w:rFonts w:ascii="Times New Roman" w:hAnsi="Times New Roman"/>
                <w:bCs w:val="0"/>
                <w:iCs w:val="0"/>
                <w:kern w:val="0"/>
              </w:rPr>
            </w:pPr>
            <w:r w:rsidRPr="00B27268">
              <w:rPr>
                <w:rFonts w:ascii="Times New Roman" w:hAnsi="Times New Roman"/>
                <w:b/>
                <w:iCs w:val="0"/>
                <w:kern w:val="0"/>
              </w:rPr>
              <w:lastRenderedPageBreak/>
              <w:t>produttrici</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8"/>
                <w:szCs w:val="20"/>
              </w:rPr>
              <w:lastRenderedPageBreak/>
              <w:t>11.754</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8"/>
                <w:szCs w:val="20"/>
              </w:rPr>
              <w:t>11,765</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jc w:val="right"/>
              <w:rPr>
                <w:rFonts w:ascii="Times New Roman" w:hAnsi="Times New Roman"/>
                <w:bCs w:val="0"/>
                <w:iCs w:val="0"/>
                <w:kern w:val="0"/>
              </w:rPr>
            </w:pPr>
            <w:r w:rsidRPr="00B27268">
              <w:rPr>
                <w:rFonts w:ascii="Times New Roman" w:hAnsi="Times New Roman"/>
                <w:bCs w:val="0"/>
                <w:iCs w:val="0"/>
                <w:color w:val="C00000"/>
                <w:kern w:val="0"/>
                <w:sz w:val="18"/>
                <w:szCs w:val="20"/>
              </w:rPr>
              <w:t>+ 0,1 %</w:t>
            </w:r>
          </w:p>
        </w:tc>
      </w:tr>
      <w:tr w:rsidR="00B27268" w:rsidRPr="00B27268" w:rsidTr="00B27268">
        <w:trPr>
          <w:trHeight w:val="346"/>
          <w:jc w:val="center"/>
        </w:trPr>
        <w:tc>
          <w:tcPr>
            <w:tcW w:w="2279" w:type="dxa"/>
            <w:tcBorders>
              <w:top w:val="single" w:sz="4" w:space="0" w:color="auto"/>
              <w:left w:val="single" w:sz="4" w:space="0" w:color="auto"/>
              <w:bottom w:val="single" w:sz="4" w:space="0" w:color="auto"/>
              <w:right w:val="single" w:sz="4" w:space="0" w:color="auto"/>
            </w:tcBorders>
            <w:shd w:val="clear" w:color="auto" w:fill="C2D69B"/>
            <w:hideMark/>
          </w:tcPr>
          <w:p w:rsidR="00B27268" w:rsidRPr="00B27268" w:rsidRDefault="00B27268" w:rsidP="00B27268">
            <w:pPr>
              <w:spacing w:afterAutospacing="0"/>
              <w:ind w:right="-23"/>
              <w:rPr>
                <w:rFonts w:ascii="Times New Roman" w:hAnsi="Times New Roman"/>
                <w:bCs w:val="0"/>
                <w:iCs w:val="0"/>
                <w:kern w:val="0"/>
              </w:rPr>
            </w:pPr>
            <w:r w:rsidRPr="00B27268">
              <w:rPr>
                <w:rFonts w:ascii="Times New Roman" w:hAnsi="Times New Roman"/>
                <w:b/>
                <w:iCs w:val="0"/>
                <w:kern w:val="0"/>
              </w:rPr>
              <w:lastRenderedPageBreak/>
              <w:t>Famiglie</w:t>
            </w:r>
          </w:p>
          <w:p w:rsidR="00B27268" w:rsidRPr="00B27268" w:rsidRDefault="00B27268" w:rsidP="00B27268">
            <w:pPr>
              <w:spacing w:afterAutospacing="0"/>
              <w:ind w:right="-23"/>
              <w:rPr>
                <w:rFonts w:ascii="Times New Roman" w:hAnsi="Times New Roman"/>
                <w:bCs w:val="0"/>
                <w:iCs w:val="0"/>
                <w:kern w:val="0"/>
              </w:rPr>
            </w:pPr>
            <w:r w:rsidRPr="00B27268">
              <w:rPr>
                <w:rFonts w:ascii="Times New Roman" w:hAnsi="Times New Roman"/>
                <w:b/>
                <w:iCs w:val="0"/>
                <w:kern w:val="0"/>
              </w:rPr>
              <w:t>consumatrici</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8"/>
                <w:szCs w:val="20"/>
              </w:rPr>
              <w:t>26,248</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ind w:left="-62"/>
              <w:jc w:val="right"/>
              <w:rPr>
                <w:rFonts w:ascii="Times New Roman" w:hAnsi="Times New Roman"/>
                <w:bCs w:val="0"/>
                <w:iCs w:val="0"/>
                <w:kern w:val="0"/>
              </w:rPr>
            </w:pPr>
            <w:r w:rsidRPr="00B27268">
              <w:rPr>
                <w:rFonts w:ascii="Times New Roman" w:hAnsi="Times New Roman"/>
                <w:bCs w:val="0"/>
                <w:iCs w:val="0"/>
                <w:kern w:val="0"/>
                <w:sz w:val="18"/>
                <w:szCs w:val="20"/>
              </w:rPr>
              <w:t>28,804</w:t>
            </w:r>
          </w:p>
        </w:tc>
        <w:tc>
          <w:tcPr>
            <w:tcW w:w="0" w:type="auto"/>
            <w:tcBorders>
              <w:top w:val="single" w:sz="4" w:space="0" w:color="auto"/>
              <w:left w:val="single" w:sz="4" w:space="0" w:color="auto"/>
              <w:bottom w:val="single" w:sz="4" w:space="0" w:color="auto"/>
              <w:right w:val="single" w:sz="4" w:space="0" w:color="auto"/>
            </w:tcBorders>
            <w:vAlign w:val="center"/>
            <w:hideMark/>
          </w:tcPr>
          <w:p w:rsidR="00B27268" w:rsidRPr="00B27268" w:rsidRDefault="00B27268" w:rsidP="00B27268">
            <w:pPr>
              <w:spacing w:afterAutospacing="0"/>
              <w:jc w:val="right"/>
              <w:rPr>
                <w:rFonts w:ascii="Times New Roman" w:hAnsi="Times New Roman"/>
                <w:bCs w:val="0"/>
                <w:iCs w:val="0"/>
                <w:kern w:val="0"/>
              </w:rPr>
            </w:pPr>
            <w:r w:rsidRPr="00B27268">
              <w:rPr>
                <w:rFonts w:ascii="Times New Roman" w:hAnsi="Times New Roman"/>
                <w:bCs w:val="0"/>
                <w:iCs w:val="0"/>
                <w:color w:val="C00000"/>
                <w:kern w:val="0"/>
                <w:sz w:val="18"/>
                <w:szCs w:val="20"/>
              </w:rPr>
              <w:t>+ 9,7 %</w:t>
            </w:r>
          </w:p>
        </w:tc>
      </w:tr>
    </w:tbl>
    <w:p w:rsidR="00C200C3" w:rsidRDefault="00C200C3"/>
    <w:sectPr w:rsidR="00C200C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Elephant">
    <w:panose1 w:val="02020904090505020303"/>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51984"/>
    <w:multiLevelType w:val="hybridMultilevel"/>
    <w:tmpl w:val="10E0E804"/>
    <w:lvl w:ilvl="0" w:tplc="0F324F8A">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268"/>
    <w:rsid w:val="00130235"/>
    <w:rsid w:val="001A3C40"/>
    <w:rsid w:val="002E4C34"/>
    <w:rsid w:val="00370059"/>
    <w:rsid w:val="004F322C"/>
    <w:rsid w:val="005F3BF0"/>
    <w:rsid w:val="00632BCB"/>
    <w:rsid w:val="007339EC"/>
    <w:rsid w:val="00754201"/>
    <w:rsid w:val="00873879"/>
    <w:rsid w:val="0094402A"/>
    <w:rsid w:val="009B4EA1"/>
    <w:rsid w:val="00A42182"/>
    <w:rsid w:val="00B27268"/>
    <w:rsid w:val="00B35AE5"/>
    <w:rsid w:val="00B90F78"/>
    <w:rsid w:val="00C200C3"/>
    <w:rsid w:val="00C55771"/>
    <w:rsid w:val="00C76E16"/>
    <w:rsid w:val="00D07FAE"/>
    <w:rsid w:val="00D709E1"/>
    <w:rsid w:val="00DB5BBF"/>
    <w:rsid w:val="00E612FB"/>
    <w:rsid w:val="00EE7D9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imes New Roman" w:hAnsi="Century Gothic" w:cs="Times New Roman"/>
        <w:bCs/>
        <w:iCs/>
        <w:kern w:val="36"/>
        <w:sz w:val="22"/>
        <w:szCs w:val="22"/>
        <w:lang w:val="it-IT" w:eastAsia="en-US" w:bidi="ar-SA"/>
      </w:rPr>
    </w:rPrDefault>
    <w:pPrDefault>
      <w:pPr>
        <w:spacing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30235"/>
    <w:rPr>
      <w:sz w:val="24"/>
      <w:szCs w:val="24"/>
      <w:lang w:eastAsia="it-IT"/>
    </w:rPr>
  </w:style>
  <w:style w:type="paragraph" w:styleId="Titolo1">
    <w:name w:val="heading 1"/>
    <w:basedOn w:val="Normale"/>
    <w:link w:val="Titolo1Carattere"/>
    <w:uiPriority w:val="9"/>
    <w:qFormat/>
    <w:rsid w:val="00130235"/>
    <w:pPr>
      <w:keepNext/>
      <w:spacing w:before="240" w:after="60"/>
      <w:ind w:left="480" w:right="34"/>
      <w:outlineLvl w:val="0"/>
    </w:pPr>
    <w:rPr>
      <w:rFonts w:cs="Century Gothic"/>
      <w:b/>
      <w:bCs w:val="0"/>
      <w:sz w:val="32"/>
      <w:szCs w:val="32"/>
    </w:rPr>
  </w:style>
  <w:style w:type="paragraph" w:styleId="Titolo2">
    <w:name w:val="heading 2"/>
    <w:basedOn w:val="Normale"/>
    <w:link w:val="Titolo2Carattere"/>
    <w:qFormat/>
    <w:rsid w:val="00130235"/>
    <w:pPr>
      <w:keepNext/>
      <w:spacing w:before="240" w:after="60"/>
      <w:jc w:val="center"/>
      <w:outlineLvl w:val="1"/>
    </w:pPr>
    <w:rPr>
      <w:rFonts w:cs="Century Gothic"/>
    </w:rPr>
  </w:style>
  <w:style w:type="paragraph" w:styleId="Titolo3">
    <w:name w:val="heading 3"/>
    <w:basedOn w:val="Normale"/>
    <w:link w:val="Titolo3Carattere"/>
    <w:uiPriority w:val="9"/>
    <w:qFormat/>
    <w:rsid w:val="00130235"/>
    <w:pPr>
      <w:keepNext/>
      <w:spacing w:before="240" w:after="60"/>
      <w:outlineLvl w:val="2"/>
    </w:pPr>
    <w:rPr>
      <w:rFonts w:cs="Century Gothic"/>
      <w:b/>
      <w:bCs w:val="0"/>
      <w:sz w:val="22"/>
      <w:szCs w:val="22"/>
    </w:rPr>
  </w:style>
  <w:style w:type="paragraph" w:styleId="Titolo4">
    <w:name w:val="heading 4"/>
    <w:basedOn w:val="Normale"/>
    <w:link w:val="Titolo4Carattere"/>
    <w:uiPriority w:val="9"/>
    <w:qFormat/>
    <w:rsid w:val="00130235"/>
    <w:pPr>
      <w:keepNext/>
      <w:spacing w:before="240" w:after="60"/>
      <w:outlineLvl w:val="3"/>
    </w:pPr>
    <w:rPr>
      <w:rFonts w:ascii="Times New Roman" w:hAnsi="Times New Roman"/>
      <w:b/>
      <w:bCs w:val="0"/>
      <w:sz w:val="28"/>
      <w:szCs w:val="28"/>
    </w:rPr>
  </w:style>
  <w:style w:type="paragraph" w:styleId="Titolo6">
    <w:name w:val="heading 6"/>
    <w:basedOn w:val="Normale"/>
    <w:link w:val="Titolo6Carattere"/>
    <w:uiPriority w:val="9"/>
    <w:qFormat/>
    <w:rsid w:val="00130235"/>
    <w:pPr>
      <w:spacing w:before="240" w:after="60"/>
      <w:outlineLvl w:val="5"/>
    </w:pPr>
    <w:rPr>
      <w:rFonts w:ascii="Times New Roman" w:hAnsi="Times New Roman"/>
      <w:b/>
      <w:bCs w:val="0"/>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130235"/>
    <w:rPr>
      <w:rFonts w:ascii="Century Gothic" w:eastAsia="SimSun" w:hAnsi="Century Gothic" w:hint="default"/>
      <w:color w:val="000000" w:themeColor="text1"/>
      <w:sz w:val="22"/>
      <w:szCs w:val="28"/>
    </w:rPr>
  </w:style>
  <w:style w:type="paragraph" w:styleId="NormaleWeb">
    <w:name w:val="Normal (Web)"/>
    <w:basedOn w:val="Normale"/>
    <w:uiPriority w:val="99"/>
    <w:unhideWhenUsed/>
    <w:rsid w:val="00130235"/>
    <w:pPr>
      <w:spacing w:before="100" w:beforeAutospacing="1" w:after="100"/>
    </w:pPr>
    <w:rPr>
      <w:rFonts w:ascii="Times New Roman" w:hAnsi="Times New Roman" w:cs="Century Gothic"/>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jc w:val="center"/>
    </w:pPr>
    <w:rPr>
      <w:rFonts w:ascii="Arial" w:hAnsi="Arial" w:cs="Arial"/>
      <w:b/>
      <w:bCs w:val="0"/>
      <w:sz w:val="32"/>
      <w:szCs w:val="32"/>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ind w:left="600"/>
    </w:pPr>
    <w:rPr>
      <w:rFonts w:asciiTheme="majorHAnsi" w:eastAsiaTheme="majorEastAsia" w:hAnsiTheme="majorHAnsi" w:cstheme="majorBidi"/>
      <w:i/>
      <w:iCs w:val="0"/>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line="276" w:lineRule="auto"/>
      <w:ind w:left="170" w:right="-39"/>
      <w:jc w:val="both"/>
    </w:pPr>
    <w:rPr>
      <w:rFonts w:cs="Century Gothic"/>
      <w:sz w:val="22"/>
      <w:szCs w:val="22"/>
      <w:lang w:eastAsia="en-US"/>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sz w:val="22"/>
      <w:szCs w:val="22"/>
    </w:rPr>
  </w:style>
  <w:style w:type="paragraph" w:customStyle="1" w:styleId="msonospacing0">
    <w:name w:val="msonospacing"/>
    <w:basedOn w:val="Normale"/>
    <w:uiPriority w:val="1"/>
    <w:semiHidden/>
    <w:qFormat/>
    <w:rsid w:val="00130235"/>
    <w:pPr>
      <w:ind w:left="2160"/>
      <w:jc w:val="both"/>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line="276" w:lineRule="auto"/>
      <w:ind w:left="0" w:right="0"/>
      <w:outlineLvl w:val="9"/>
    </w:pPr>
    <w:rPr>
      <w:rFonts w:ascii="Cambria" w:hAnsi="Cambria" w:cs="Times New Roman"/>
      <w:color w:val="365F91"/>
      <w:kern w:val="0"/>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jc w:val="both"/>
    </w:pPr>
  </w:style>
  <w:style w:type="paragraph" w:styleId="Sommario3">
    <w:name w:val="toc 3"/>
    <w:basedOn w:val="Normale"/>
    <w:autoRedefine/>
    <w:uiPriority w:val="39"/>
    <w:semiHidden/>
    <w:unhideWhenUsed/>
    <w:rsid w:val="00130235"/>
    <w:pPr>
      <w:ind w:left="440"/>
    </w:pPr>
    <w:rPr>
      <w:rFonts w:ascii="Times New Roman" w:hAnsi="Times New Roman"/>
      <w:sz w:val="22"/>
      <w:szCs w:val="22"/>
    </w:rPr>
  </w:style>
  <w:style w:type="paragraph" w:styleId="Testonotaapidipagina">
    <w:name w:val="footnote text"/>
    <w:basedOn w:val="Normale"/>
    <w:link w:val="TestonotaapidipaginaCarattere"/>
    <w:uiPriority w:val="99"/>
    <w:semiHidden/>
    <w:unhideWhenUsed/>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rPr>
      <w:rFonts w:ascii="Times New Roman" w:hAnsi="Times New Roman"/>
      <w:sz w:val="22"/>
      <w:szCs w:val="22"/>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rPr>
      <w:rFonts w:ascii="Times New Roman" w:hAnsi="Times New Roman"/>
      <w:sz w:val="22"/>
      <w:szCs w:val="22"/>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pPr>
    <w:rPr>
      <w:color w:val="FF0000"/>
      <w:sz w:val="18"/>
      <w:szCs w:val="18"/>
    </w:rPr>
  </w:style>
  <w:style w:type="paragraph" w:styleId="Testonormale">
    <w:name w:val="Plain Text"/>
    <w:basedOn w:val="Normale"/>
    <w:link w:val="TestonormaleCarattere"/>
    <w:uiPriority w:val="99"/>
    <w:semiHidden/>
    <w:unhideWhenUsed/>
    <w:rsid w:val="00130235"/>
    <w:rPr>
      <w:rFonts w:ascii="Calibri" w:hAnsi="Calibri"/>
      <w:sz w:val="22"/>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pPr>
      <w:spacing w:afterAutospacing="0"/>
    </w:pPr>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ind w:left="2160"/>
      <w:jc w:val="both"/>
    </w:pPr>
    <w:rPr>
      <w:color w:val="0F243E"/>
    </w:rPr>
  </w:style>
  <w:style w:type="paragraph" w:styleId="Paragrafoelenco">
    <w:name w:val="List Paragraph"/>
    <w:basedOn w:val="Normale"/>
    <w:uiPriority w:val="34"/>
    <w:qFormat/>
    <w:rsid w:val="00130235"/>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imes New Roman" w:hAnsi="Century Gothic" w:cs="Times New Roman"/>
        <w:bCs/>
        <w:iCs/>
        <w:kern w:val="36"/>
        <w:sz w:val="22"/>
        <w:szCs w:val="22"/>
        <w:lang w:val="it-IT" w:eastAsia="en-US" w:bidi="ar-SA"/>
      </w:rPr>
    </w:rPrDefault>
    <w:pPrDefault>
      <w:pPr>
        <w:spacing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30235"/>
    <w:rPr>
      <w:sz w:val="24"/>
      <w:szCs w:val="24"/>
      <w:lang w:eastAsia="it-IT"/>
    </w:rPr>
  </w:style>
  <w:style w:type="paragraph" w:styleId="Titolo1">
    <w:name w:val="heading 1"/>
    <w:basedOn w:val="Normale"/>
    <w:link w:val="Titolo1Carattere"/>
    <w:uiPriority w:val="9"/>
    <w:qFormat/>
    <w:rsid w:val="00130235"/>
    <w:pPr>
      <w:keepNext/>
      <w:spacing w:before="240" w:after="60"/>
      <w:ind w:left="480" w:right="34"/>
      <w:outlineLvl w:val="0"/>
    </w:pPr>
    <w:rPr>
      <w:rFonts w:cs="Century Gothic"/>
      <w:b/>
      <w:bCs w:val="0"/>
      <w:sz w:val="32"/>
      <w:szCs w:val="32"/>
    </w:rPr>
  </w:style>
  <w:style w:type="paragraph" w:styleId="Titolo2">
    <w:name w:val="heading 2"/>
    <w:basedOn w:val="Normale"/>
    <w:link w:val="Titolo2Carattere"/>
    <w:qFormat/>
    <w:rsid w:val="00130235"/>
    <w:pPr>
      <w:keepNext/>
      <w:spacing w:before="240" w:after="60"/>
      <w:jc w:val="center"/>
      <w:outlineLvl w:val="1"/>
    </w:pPr>
    <w:rPr>
      <w:rFonts w:cs="Century Gothic"/>
    </w:rPr>
  </w:style>
  <w:style w:type="paragraph" w:styleId="Titolo3">
    <w:name w:val="heading 3"/>
    <w:basedOn w:val="Normale"/>
    <w:link w:val="Titolo3Carattere"/>
    <w:uiPriority w:val="9"/>
    <w:qFormat/>
    <w:rsid w:val="00130235"/>
    <w:pPr>
      <w:keepNext/>
      <w:spacing w:before="240" w:after="60"/>
      <w:outlineLvl w:val="2"/>
    </w:pPr>
    <w:rPr>
      <w:rFonts w:cs="Century Gothic"/>
      <w:b/>
      <w:bCs w:val="0"/>
      <w:sz w:val="22"/>
      <w:szCs w:val="22"/>
    </w:rPr>
  </w:style>
  <w:style w:type="paragraph" w:styleId="Titolo4">
    <w:name w:val="heading 4"/>
    <w:basedOn w:val="Normale"/>
    <w:link w:val="Titolo4Carattere"/>
    <w:uiPriority w:val="9"/>
    <w:qFormat/>
    <w:rsid w:val="00130235"/>
    <w:pPr>
      <w:keepNext/>
      <w:spacing w:before="240" w:after="60"/>
      <w:outlineLvl w:val="3"/>
    </w:pPr>
    <w:rPr>
      <w:rFonts w:ascii="Times New Roman" w:hAnsi="Times New Roman"/>
      <w:b/>
      <w:bCs w:val="0"/>
      <w:sz w:val="28"/>
      <w:szCs w:val="28"/>
    </w:rPr>
  </w:style>
  <w:style w:type="paragraph" w:styleId="Titolo6">
    <w:name w:val="heading 6"/>
    <w:basedOn w:val="Normale"/>
    <w:link w:val="Titolo6Carattere"/>
    <w:uiPriority w:val="9"/>
    <w:qFormat/>
    <w:rsid w:val="00130235"/>
    <w:pPr>
      <w:spacing w:before="240" w:after="60"/>
      <w:outlineLvl w:val="5"/>
    </w:pPr>
    <w:rPr>
      <w:rFonts w:ascii="Times New Roman" w:hAnsi="Times New Roman"/>
      <w:b/>
      <w:bCs w:val="0"/>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basedOn w:val="Carpredefinitoparagrafo"/>
    <w:uiPriority w:val="99"/>
    <w:unhideWhenUsed/>
    <w:qFormat/>
    <w:rsid w:val="00130235"/>
    <w:rPr>
      <w:rFonts w:ascii="Century Gothic" w:eastAsia="SimSun" w:hAnsi="Century Gothic" w:hint="default"/>
      <w:color w:val="000000" w:themeColor="text1"/>
      <w:sz w:val="22"/>
      <w:szCs w:val="28"/>
    </w:rPr>
  </w:style>
  <w:style w:type="paragraph" w:styleId="NormaleWeb">
    <w:name w:val="Normal (Web)"/>
    <w:basedOn w:val="Normale"/>
    <w:uiPriority w:val="99"/>
    <w:unhideWhenUsed/>
    <w:rsid w:val="00130235"/>
    <w:pPr>
      <w:spacing w:before="100" w:beforeAutospacing="1" w:after="100"/>
    </w:pPr>
    <w:rPr>
      <w:rFonts w:ascii="Times New Roman" w:hAnsi="Times New Roman" w:cs="Century Gothic"/>
    </w:rPr>
  </w:style>
  <w:style w:type="character" w:customStyle="1" w:styleId="Titolo1Carattere">
    <w:name w:val="Titolo 1 Carattere"/>
    <w:basedOn w:val="Carpredefinitoparagrafo"/>
    <w:link w:val="Titolo1"/>
    <w:uiPriority w:val="9"/>
    <w:rsid w:val="00130235"/>
    <w:rPr>
      <w:rFonts w:ascii="Trebuchet MS" w:eastAsiaTheme="minorEastAsia" w:hAnsi="Trebuchet MS" w:cs="Century Gothic"/>
      <w:b/>
      <w:bCs w:val="0"/>
      <w:kern w:val="36"/>
      <w:sz w:val="32"/>
      <w:szCs w:val="32"/>
      <w:lang w:eastAsia="it-IT"/>
    </w:rPr>
  </w:style>
  <w:style w:type="paragraph" w:styleId="Titolo">
    <w:name w:val="Title"/>
    <w:basedOn w:val="Normale"/>
    <w:link w:val="TitoloCarattere"/>
    <w:uiPriority w:val="10"/>
    <w:qFormat/>
    <w:rsid w:val="00130235"/>
    <w:pPr>
      <w:spacing w:before="240" w:after="60"/>
      <w:jc w:val="center"/>
    </w:pPr>
    <w:rPr>
      <w:rFonts w:ascii="Arial" w:hAnsi="Arial" w:cs="Arial"/>
      <w:b/>
      <w:bCs w:val="0"/>
      <w:sz w:val="32"/>
      <w:szCs w:val="32"/>
    </w:rPr>
  </w:style>
  <w:style w:type="character" w:customStyle="1" w:styleId="TitoloCarattere">
    <w:name w:val="Titolo Carattere"/>
    <w:basedOn w:val="Carpredefinitoparagrafo"/>
    <w:link w:val="Titolo"/>
    <w:uiPriority w:val="10"/>
    <w:rsid w:val="00130235"/>
    <w:rPr>
      <w:rFonts w:ascii="Arial" w:eastAsiaTheme="minorEastAsia" w:hAnsi="Arial" w:cs="Arial"/>
      <w:b/>
      <w:bCs w:val="0"/>
      <w:color w:val="008000"/>
      <w:sz w:val="32"/>
      <w:szCs w:val="32"/>
      <w:lang w:eastAsia="it-IT"/>
    </w:rPr>
  </w:style>
  <w:style w:type="paragraph" w:styleId="Sottotitolo">
    <w:name w:val="Subtitle"/>
    <w:basedOn w:val="Normale"/>
    <w:next w:val="Normale"/>
    <w:link w:val="SottotitoloCarattere"/>
    <w:uiPriority w:val="11"/>
    <w:qFormat/>
    <w:rsid w:val="00130235"/>
    <w:pPr>
      <w:numPr>
        <w:ilvl w:val="1"/>
      </w:numPr>
      <w:ind w:left="600"/>
    </w:pPr>
    <w:rPr>
      <w:rFonts w:asciiTheme="majorHAnsi" w:eastAsiaTheme="majorEastAsia" w:hAnsiTheme="majorHAnsi" w:cstheme="majorBidi"/>
      <w:i/>
      <w:iCs w:val="0"/>
      <w:color w:val="4F81BD" w:themeColor="accent1"/>
      <w:spacing w:val="15"/>
    </w:rPr>
  </w:style>
  <w:style w:type="character" w:customStyle="1" w:styleId="SottotitoloCarattere">
    <w:name w:val="Sottotitolo Carattere"/>
    <w:basedOn w:val="Carpredefinitoparagrafo"/>
    <w:link w:val="Sottotitolo"/>
    <w:uiPriority w:val="11"/>
    <w:rsid w:val="00130235"/>
    <w:rPr>
      <w:rFonts w:asciiTheme="majorHAnsi" w:eastAsiaTheme="majorEastAsia" w:hAnsiTheme="majorHAnsi" w:cstheme="majorBidi"/>
      <w:i/>
      <w:iCs w:val="0"/>
      <w:color w:val="4F81BD" w:themeColor="accent1"/>
      <w:spacing w:val="15"/>
      <w:sz w:val="24"/>
      <w:szCs w:val="24"/>
      <w:lang w:eastAsia="it-IT"/>
    </w:rPr>
  </w:style>
  <w:style w:type="paragraph" w:customStyle="1" w:styleId="link">
    <w:name w:val="link"/>
    <w:basedOn w:val="Normale"/>
    <w:link w:val="linkCarattere"/>
    <w:autoRedefine/>
    <w:uiPriority w:val="99"/>
    <w:rsid w:val="009B4EA1"/>
    <w:pPr>
      <w:tabs>
        <w:tab w:val="left" w:pos="708"/>
      </w:tabs>
      <w:spacing w:before="100" w:beforeAutospacing="1" w:after="100" w:line="276" w:lineRule="auto"/>
      <w:ind w:left="170" w:right="-39"/>
      <w:jc w:val="both"/>
    </w:pPr>
    <w:rPr>
      <w:rFonts w:cs="Century Gothic"/>
      <w:sz w:val="22"/>
      <w:szCs w:val="22"/>
      <w:lang w:eastAsia="en-US"/>
    </w:rPr>
  </w:style>
  <w:style w:type="character" w:customStyle="1" w:styleId="linkCarattere">
    <w:name w:val="link Carattere"/>
    <w:basedOn w:val="Carpredefinitoparagrafo"/>
    <w:link w:val="link"/>
    <w:uiPriority w:val="99"/>
    <w:locked/>
    <w:rsid w:val="009B4EA1"/>
    <w:rPr>
      <w:rFonts w:cs="Century Gothic"/>
    </w:rPr>
  </w:style>
  <w:style w:type="character" w:styleId="Collegamentovisitato">
    <w:name w:val="FollowedHyperlink"/>
    <w:basedOn w:val="Carpredefinitoparagrafo"/>
    <w:uiPriority w:val="99"/>
    <w:semiHidden/>
    <w:unhideWhenUsed/>
    <w:qFormat/>
    <w:rsid w:val="00130235"/>
    <w:rPr>
      <w:rFonts w:ascii="Century Gothic" w:hAnsi="Century Gothic" w:hint="default"/>
      <w:strike w:val="0"/>
      <w:dstrike w:val="0"/>
      <w:color w:val="7030A0"/>
      <w:u w:val="none"/>
      <w:effect w:val="none"/>
    </w:rPr>
  </w:style>
  <w:style w:type="paragraph" w:customStyle="1" w:styleId="msolistparagraphcxspfirst">
    <w:name w:val="msolistparagraphcxspfirst"/>
    <w:basedOn w:val="Normale"/>
    <w:uiPriority w:val="99"/>
    <w:semiHidden/>
    <w:rsid w:val="00130235"/>
    <w:pPr>
      <w:ind w:left="720"/>
    </w:pPr>
  </w:style>
  <w:style w:type="paragraph" w:customStyle="1" w:styleId="msolistparagraphcxspmiddle">
    <w:name w:val="msolistparagraphcxspmiddle"/>
    <w:basedOn w:val="Normale"/>
    <w:uiPriority w:val="99"/>
    <w:semiHidden/>
    <w:rsid w:val="00130235"/>
    <w:pPr>
      <w:ind w:left="720"/>
    </w:pPr>
  </w:style>
  <w:style w:type="paragraph" w:customStyle="1" w:styleId="msolistparagraphcxsplast">
    <w:name w:val="msolistparagraphcxsplast"/>
    <w:basedOn w:val="Normale"/>
    <w:uiPriority w:val="99"/>
    <w:semiHidden/>
    <w:rsid w:val="00130235"/>
    <w:pPr>
      <w:ind w:left="720"/>
    </w:pPr>
  </w:style>
  <w:style w:type="paragraph" w:customStyle="1" w:styleId="Stile1">
    <w:name w:val="Stile1"/>
    <w:basedOn w:val="Normale"/>
    <w:uiPriority w:val="99"/>
    <w:semiHidden/>
    <w:rsid w:val="00130235"/>
    <w:rPr>
      <w:rFonts w:ascii="Garamond" w:hAnsi="Garamond"/>
      <w:sz w:val="22"/>
      <w:szCs w:val="22"/>
    </w:rPr>
  </w:style>
  <w:style w:type="paragraph" w:customStyle="1" w:styleId="msonospacing0">
    <w:name w:val="msonospacing"/>
    <w:basedOn w:val="Normale"/>
    <w:uiPriority w:val="1"/>
    <w:semiHidden/>
    <w:qFormat/>
    <w:rsid w:val="00130235"/>
    <w:pPr>
      <w:ind w:left="2160"/>
      <w:jc w:val="both"/>
    </w:pPr>
    <w:rPr>
      <w:color w:val="0F243E"/>
    </w:rPr>
  </w:style>
  <w:style w:type="paragraph" w:customStyle="1" w:styleId="by-line">
    <w:name w:val="by-line"/>
    <w:basedOn w:val="Normale"/>
    <w:uiPriority w:val="99"/>
    <w:semiHidden/>
    <w:rsid w:val="00130235"/>
    <w:pPr>
      <w:spacing w:before="100" w:beforeAutospacing="1" w:after="100"/>
    </w:pPr>
  </w:style>
  <w:style w:type="paragraph" w:customStyle="1" w:styleId="msochpdefault">
    <w:name w:val="msochpdefault"/>
    <w:basedOn w:val="Normale"/>
    <w:uiPriority w:val="99"/>
    <w:semiHidden/>
    <w:rsid w:val="00130235"/>
    <w:pPr>
      <w:spacing w:before="100" w:beforeAutospacing="1" w:after="100"/>
    </w:pPr>
    <w:rPr>
      <w:rFonts w:ascii="Times New Roman" w:hAnsi="Times New Roman"/>
    </w:rPr>
  </w:style>
  <w:style w:type="paragraph" w:customStyle="1" w:styleId="msotocheading0">
    <w:name w:val="msotocheading"/>
    <w:basedOn w:val="Titolo1"/>
    <w:next w:val="Normale"/>
    <w:uiPriority w:val="39"/>
    <w:semiHidden/>
    <w:qFormat/>
    <w:rsid w:val="00130235"/>
    <w:pPr>
      <w:keepLines/>
      <w:spacing w:before="480" w:after="0" w:line="276" w:lineRule="auto"/>
      <w:ind w:left="0" w:right="0"/>
      <w:outlineLvl w:val="9"/>
    </w:pPr>
    <w:rPr>
      <w:rFonts w:ascii="Cambria" w:hAnsi="Cambria" w:cs="Times New Roman"/>
      <w:color w:val="365F91"/>
      <w:kern w:val="0"/>
      <w:sz w:val="28"/>
      <w:szCs w:val="28"/>
    </w:rPr>
  </w:style>
  <w:style w:type="paragraph" w:customStyle="1" w:styleId="3Fonction">
    <w:name w:val="3 Fonction"/>
    <w:basedOn w:val="Normale"/>
    <w:next w:val="Normale"/>
    <w:uiPriority w:val="99"/>
    <w:semiHidden/>
    <w:rsid w:val="00130235"/>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before="120"/>
    </w:pPr>
    <w:rPr>
      <w:rFonts w:ascii="Arial" w:hAnsi="Arial"/>
      <w:spacing w:val="-2"/>
      <w:sz w:val="28"/>
      <w:lang w:val="fr-FR" w:eastAsia="en-GB"/>
    </w:rPr>
  </w:style>
  <w:style w:type="paragraph" w:customStyle="1" w:styleId="msonospacing00">
    <w:name w:val="msonospacing0"/>
    <w:basedOn w:val="Normale"/>
    <w:uiPriority w:val="99"/>
    <w:semiHidden/>
    <w:qFormat/>
    <w:rsid w:val="00130235"/>
    <w:pPr>
      <w:spacing w:before="100" w:beforeAutospacing="1" w:after="100"/>
    </w:pPr>
    <w:rPr>
      <w:rFonts w:cs="Century Gothic"/>
    </w:rPr>
  </w:style>
  <w:style w:type="character" w:customStyle="1" w:styleId="occhiello">
    <w:name w:val="occhiello"/>
    <w:basedOn w:val="Carpredefinitoparagrafo"/>
    <w:rsid w:val="00130235"/>
  </w:style>
  <w:style w:type="character" w:customStyle="1" w:styleId="titolo10">
    <w:name w:val="titolo1"/>
    <w:basedOn w:val="Carpredefinitoparagrafo"/>
    <w:rsid w:val="00130235"/>
  </w:style>
  <w:style w:type="character" w:customStyle="1" w:styleId="sommario">
    <w:name w:val="sommario"/>
    <w:basedOn w:val="Carpredefinitoparagrafo"/>
    <w:rsid w:val="00130235"/>
  </w:style>
  <w:style w:type="character" w:customStyle="1" w:styleId="txt12">
    <w:name w:val="txt12"/>
    <w:basedOn w:val="Carpredefinitoparagrafo"/>
    <w:rsid w:val="00130235"/>
  </w:style>
  <w:style w:type="character" w:customStyle="1" w:styleId="articolotitolo1">
    <w:name w:val="articolotitolo1"/>
    <w:basedOn w:val="Carpredefinitoparagrafo"/>
    <w:rsid w:val="00130235"/>
    <w:rPr>
      <w:rFonts w:ascii="Verdana" w:hAnsi="Verdana" w:hint="default"/>
      <w:b/>
      <w:bCs w:val="0"/>
      <w:strike w:val="0"/>
      <w:dstrike w:val="0"/>
      <w:color w:val="000000"/>
      <w:u w:val="none"/>
      <w:effect w:val="none"/>
    </w:rPr>
  </w:style>
  <w:style w:type="character" w:customStyle="1" w:styleId="grame">
    <w:name w:val="grame"/>
    <w:basedOn w:val="Carpredefinitoparagrafo"/>
    <w:rsid w:val="00130235"/>
  </w:style>
  <w:style w:type="character" w:customStyle="1" w:styleId="grigioscuro">
    <w:name w:val="grigioscuro"/>
    <w:basedOn w:val="Carpredefinitoparagrafo"/>
    <w:rsid w:val="00130235"/>
  </w:style>
  <w:style w:type="character" w:customStyle="1" w:styleId="fwb1">
    <w:name w:val="fwb1"/>
    <w:rsid w:val="00130235"/>
    <w:rPr>
      <w:b/>
      <w:bCs w:val="0"/>
    </w:rPr>
  </w:style>
  <w:style w:type="character" w:customStyle="1" w:styleId="usercontent">
    <w:name w:val="usercontent"/>
    <w:basedOn w:val="Carpredefinitoparagrafo"/>
    <w:rsid w:val="00130235"/>
  </w:style>
  <w:style w:type="character" w:customStyle="1" w:styleId="credits">
    <w:name w:val="credits"/>
    <w:basedOn w:val="Carpredefinitoparagrafo"/>
    <w:rsid w:val="00130235"/>
  </w:style>
  <w:style w:type="character" w:customStyle="1" w:styleId="metaauthor">
    <w:name w:val="meta_author"/>
    <w:basedOn w:val="Carpredefinitoparagrafo"/>
    <w:rsid w:val="00130235"/>
  </w:style>
  <w:style w:type="character" w:customStyle="1" w:styleId="uficommentbody">
    <w:name w:val="uficommentbody"/>
    <w:basedOn w:val="Carpredefinitoparagrafo"/>
    <w:rsid w:val="00130235"/>
  </w:style>
  <w:style w:type="character" w:customStyle="1" w:styleId="Titolo2Carattere">
    <w:name w:val="Titolo 2 Carattere"/>
    <w:basedOn w:val="Carpredefinitoparagrafo"/>
    <w:link w:val="Titolo2"/>
    <w:rsid w:val="00130235"/>
    <w:rPr>
      <w:rFonts w:ascii="Trebuchet MS" w:eastAsiaTheme="minorEastAsia" w:hAnsi="Trebuchet MS" w:cs="Century Gothic"/>
      <w:color w:val="008000"/>
      <w:sz w:val="16"/>
      <w:szCs w:val="16"/>
      <w:lang w:eastAsia="it-IT"/>
    </w:rPr>
  </w:style>
  <w:style w:type="character" w:customStyle="1" w:styleId="Titolo3Carattere">
    <w:name w:val="Titolo 3 Carattere"/>
    <w:basedOn w:val="Carpredefinitoparagrafo"/>
    <w:link w:val="Titolo3"/>
    <w:uiPriority w:val="9"/>
    <w:rsid w:val="00130235"/>
    <w:rPr>
      <w:rFonts w:ascii="Trebuchet MS" w:eastAsiaTheme="minorEastAsia" w:hAnsi="Trebuchet MS" w:cs="Century Gothic"/>
      <w:b/>
      <w:bCs w:val="0"/>
      <w:color w:val="008000"/>
      <w:sz w:val="22"/>
      <w:szCs w:val="22"/>
      <w:lang w:eastAsia="it-IT"/>
    </w:rPr>
  </w:style>
  <w:style w:type="character" w:customStyle="1" w:styleId="Titolo4Carattere">
    <w:name w:val="Titolo 4 Carattere"/>
    <w:basedOn w:val="Carpredefinitoparagrafo"/>
    <w:link w:val="Titolo4"/>
    <w:uiPriority w:val="9"/>
    <w:rsid w:val="00130235"/>
    <w:rPr>
      <w:rFonts w:ascii="Times New Roman" w:eastAsiaTheme="minorEastAsia" w:hAnsi="Times New Roman" w:cs="Times New Roman"/>
      <w:b/>
      <w:bCs w:val="0"/>
      <w:sz w:val="28"/>
      <w:szCs w:val="28"/>
      <w:lang w:eastAsia="it-IT"/>
    </w:rPr>
  </w:style>
  <w:style w:type="character" w:customStyle="1" w:styleId="Titolo6Carattere">
    <w:name w:val="Titolo 6 Carattere"/>
    <w:basedOn w:val="Carpredefinitoparagrafo"/>
    <w:link w:val="Titolo6"/>
    <w:uiPriority w:val="9"/>
    <w:rsid w:val="00130235"/>
    <w:rPr>
      <w:rFonts w:ascii="Times New Roman" w:eastAsiaTheme="minorEastAsia" w:hAnsi="Times New Roman" w:cs="Times New Roman"/>
      <w:b/>
      <w:bCs w:val="0"/>
      <w:color w:val="008000"/>
      <w:sz w:val="22"/>
      <w:szCs w:val="22"/>
      <w:lang w:eastAsia="it-IT"/>
    </w:rPr>
  </w:style>
  <w:style w:type="paragraph" w:styleId="Sommario1">
    <w:name w:val="toc 1"/>
    <w:basedOn w:val="Normale"/>
    <w:autoRedefine/>
    <w:uiPriority w:val="39"/>
    <w:semiHidden/>
    <w:unhideWhenUsed/>
    <w:rsid w:val="00130235"/>
    <w:pPr>
      <w:ind w:right="-2"/>
      <w:jc w:val="both"/>
    </w:pPr>
  </w:style>
  <w:style w:type="paragraph" w:styleId="Sommario3">
    <w:name w:val="toc 3"/>
    <w:basedOn w:val="Normale"/>
    <w:autoRedefine/>
    <w:uiPriority w:val="39"/>
    <w:semiHidden/>
    <w:unhideWhenUsed/>
    <w:rsid w:val="00130235"/>
    <w:pPr>
      <w:ind w:left="440"/>
    </w:pPr>
    <w:rPr>
      <w:rFonts w:ascii="Times New Roman" w:hAnsi="Times New Roman"/>
      <w:sz w:val="22"/>
      <w:szCs w:val="22"/>
    </w:rPr>
  </w:style>
  <w:style w:type="paragraph" w:styleId="Testonotaapidipagina">
    <w:name w:val="footnote text"/>
    <w:basedOn w:val="Normale"/>
    <w:link w:val="TestonotaapidipaginaCarattere"/>
    <w:uiPriority w:val="99"/>
    <w:semiHidden/>
    <w:unhideWhenUsed/>
    <w:rsid w:val="00130235"/>
    <w:rPr>
      <w:rFonts w:ascii="Times New Roman" w:hAnsi="Times New Roman"/>
    </w:rPr>
  </w:style>
  <w:style w:type="character" w:customStyle="1" w:styleId="TestonotaapidipaginaCarattere">
    <w:name w:val="Testo nota a piè di pagina Carattere"/>
    <w:basedOn w:val="Carpredefinitoparagrafo"/>
    <w:link w:val="Testonotaapidipagina"/>
    <w:uiPriority w:val="99"/>
    <w:semiHidden/>
    <w:rsid w:val="00130235"/>
    <w:rPr>
      <w:rFonts w:ascii="Times New Roman" w:eastAsiaTheme="minorEastAsia" w:hAnsi="Times New Roman" w:cs="Times New Roman"/>
      <w:sz w:val="16"/>
      <w:szCs w:val="16"/>
      <w:lang w:eastAsia="it-IT"/>
    </w:rPr>
  </w:style>
  <w:style w:type="paragraph" w:styleId="Intestazione">
    <w:name w:val="header"/>
    <w:basedOn w:val="Normale"/>
    <w:link w:val="IntestazioneCarattere"/>
    <w:uiPriority w:val="99"/>
    <w:semiHidden/>
    <w:unhideWhenUsed/>
    <w:rsid w:val="00130235"/>
    <w:rPr>
      <w:rFonts w:ascii="Times New Roman" w:hAnsi="Times New Roman"/>
      <w:sz w:val="22"/>
      <w:szCs w:val="22"/>
    </w:rPr>
  </w:style>
  <w:style w:type="character" w:customStyle="1" w:styleId="IntestazioneCarattere">
    <w:name w:val="Intestazione Carattere"/>
    <w:basedOn w:val="Carpredefinitoparagrafo"/>
    <w:link w:val="Intestazione"/>
    <w:uiPriority w:val="99"/>
    <w:semiHidden/>
    <w:rsid w:val="00130235"/>
    <w:rPr>
      <w:rFonts w:ascii="Times New Roman" w:eastAsiaTheme="minorEastAsia" w:hAnsi="Times New Roman" w:cs="Times New Roman"/>
      <w:sz w:val="22"/>
      <w:szCs w:val="22"/>
      <w:lang w:eastAsia="it-IT"/>
    </w:rPr>
  </w:style>
  <w:style w:type="paragraph" w:styleId="Pidipagina">
    <w:name w:val="footer"/>
    <w:basedOn w:val="Normale"/>
    <w:link w:val="PidipaginaCarattere"/>
    <w:uiPriority w:val="99"/>
    <w:semiHidden/>
    <w:unhideWhenUsed/>
    <w:rsid w:val="00130235"/>
    <w:rPr>
      <w:rFonts w:ascii="Times New Roman" w:hAnsi="Times New Roman"/>
      <w:sz w:val="22"/>
      <w:szCs w:val="22"/>
    </w:rPr>
  </w:style>
  <w:style w:type="character" w:customStyle="1" w:styleId="PidipaginaCarattere">
    <w:name w:val="Piè di pagina Carattere"/>
    <w:basedOn w:val="Carpredefinitoparagrafo"/>
    <w:link w:val="Pidipagina"/>
    <w:uiPriority w:val="99"/>
    <w:semiHidden/>
    <w:rsid w:val="00130235"/>
    <w:rPr>
      <w:rFonts w:ascii="Times New Roman" w:eastAsiaTheme="minorEastAsia" w:hAnsi="Times New Roman" w:cs="Times New Roman"/>
      <w:sz w:val="22"/>
      <w:szCs w:val="22"/>
      <w:lang w:eastAsia="it-IT"/>
    </w:rPr>
  </w:style>
  <w:style w:type="character" w:styleId="Rimandonotaapidipagina">
    <w:name w:val="footnote reference"/>
    <w:basedOn w:val="Carpredefinitoparagrafo"/>
    <w:uiPriority w:val="99"/>
    <w:semiHidden/>
    <w:unhideWhenUsed/>
    <w:rsid w:val="00130235"/>
    <w:rPr>
      <w:vertAlign w:val="superscript"/>
    </w:rPr>
  </w:style>
  <w:style w:type="paragraph" w:styleId="Data">
    <w:name w:val="Date"/>
    <w:basedOn w:val="Normale"/>
    <w:link w:val="DataCarattere"/>
    <w:uiPriority w:val="99"/>
    <w:semiHidden/>
    <w:unhideWhenUsed/>
    <w:rsid w:val="00130235"/>
  </w:style>
  <w:style w:type="character" w:customStyle="1" w:styleId="DataCarattere">
    <w:name w:val="Data Carattere"/>
    <w:basedOn w:val="Carpredefinitoparagrafo"/>
    <w:link w:val="Data"/>
    <w:uiPriority w:val="99"/>
    <w:semiHidden/>
    <w:rsid w:val="00130235"/>
    <w:rPr>
      <w:rFonts w:ascii="Trebuchet MS" w:eastAsiaTheme="minorEastAsia" w:hAnsi="Trebuchet MS" w:cs="Times New Roman"/>
      <w:color w:val="008000"/>
      <w:sz w:val="16"/>
      <w:szCs w:val="16"/>
      <w:lang w:eastAsia="it-IT"/>
    </w:rPr>
  </w:style>
  <w:style w:type="paragraph" w:styleId="Testodelblocco">
    <w:name w:val="Block Text"/>
    <w:basedOn w:val="Normale"/>
    <w:uiPriority w:val="99"/>
    <w:semiHidden/>
    <w:unhideWhenUsed/>
    <w:rsid w:val="00130235"/>
    <w:pPr>
      <w:ind w:left="480"/>
    </w:pPr>
    <w:rPr>
      <w:color w:val="FF0000"/>
      <w:sz w:val="18"/>
      <w:szCs w:val="18"/>
    </w:rPr>
  </w:style>
  <w:style w:type="paragraph" w:styleId="Testonormale">
    <w:name w:val="Plain Text"/>
    <w:basedOn w:val="Normale"/>
    <w:link w:val="TestonormaleCarattere"/>
    <w:uiPriority w:val="99"/>
    <w:semiHidden/>
    <w:unhideWhenUsed/>
    <w:rsid w:val="00130235"/>
    <w:rPr>
      <w:rFonts w:ascii="Calibri" w:hAnsi="Calibri"/>
      <w:sz w:val="22"/>
      <w:szCs w:val="21"/>
    </w:rPr>
  </w:style>
  <w:style w:type="character" w:customStyle="1" w:styleId="TestonormaleCarattere">
    <w:name w:val="Testo normale Carattere"/>
    <w:basedOn w:val="Carpredefinitoparagrafo"/>
    <w:link w:val="Testonormale"/>
    <w:uiPriority w:val="99"/>
    <w:semiHidden/>
    <w:rsid w:val="00130235"/>
    <w:rPr>
      <w:rFonts w:ascii="Calibri" w:hAnsi="Calibri"/>
      <w:sz w:val="22"/>
      <w:szCs w:val="21"/>
    </w:rPr>
  </w:style>
  <w:style w:type="paragraph" w:styleId="Testofumetto">
    <w:name w:val="Balloon Text"/>
    <w:basedOn w:val="Normale"/>
    <w:link w:val="TestofumettoCarattere"/>
    <w:uiPriority w:val="99"/>
    <w:semiHidden/>
    <w:unhideWhenUsed/>
    <w:rsid w:val="00130235"/>
    <w:rPr>
      <w:rFonts w:ascii="Tahoma" w:hAnsi="Tahoma" w:cs="Tahoma"/>
    </w:rPr>
  </w:style>
  <w:style w:type="character" w:customStyle="1" w:styleId="TestofumettoCarattere">
    <w:name w:val="Testo fumetto Carattere"/>
    <w:basedOn w:val="Carpredefinitoparagrafo"/>
    <w:link w:val="Testofumetto"/>
    <w:uiPriority w:val="99"/>
    <w:semiHidden/>
    <w:rsid w:val="00130235"/>
    <w:rPr>
      <w:rFonts w:ascii="Tahoma" w:eastAsiaTheme="minorEastAsia" w:hAnsi="Tahoma" w:cs="Tahoma"/>
      <w:sz w:val="16"/>
      <w:szCs w:val="16"/>
      <w:lang w:eastAsia="it-IT"/>
    </w:rPr>
  </w:style>
  <w:style w:type="table" w:styleId="Grigliatabella">
    <w:name w:val="Table Grid"/>
    <w:basedOn w:val="Tabellanormale"/>
    <w:uiPriority w:val="59"/>
    <w:rsid w:val="00130235"/>
    <w:pPr>
      <w:spacing w:afterAutospacing="0"/>
    </w:pPr>
    <w:rPr>
      <w:rFonts w:ascii="Times New Roman" w:hAnsi="Times New Roman"/>
      <w:lang w:eastAsia="it-I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essunaspaziatura">
    <w:name w:val="No Spacing"/>
    <w:basedOn w:val="Normale"/>
    <w:uiPriority w:val="1"/>
    <w:qFormat/>
    <w:rsid w:val="00130235"/>
    <w:pPr>
      <w:ind w:left="2160"/>
      <w:jc w:val="both"/>
    </w:pPr>
    <w:rPr>
      <w:color w:val="0F243E"/>
    </w:rPr>
  </w:style>
  <w:style w:type="paragraph" w:styleId="Paragrafoelenco">
    <w:name w:val="List Paragraph"/>
    <w:basedOn w:val="Normale"/>
    <w:uiPriority w:val="34"/>
    <w:qFormat/>
    <w:rsid w:val="001302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7070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778</Words>
  <Characters>4435</Characters>
  <Application>Microsoft Office Word</Application>
  <DocSecurity>0</DocSecurity>
  <Lines>36</Lines>
  <Paragraphs>10</Paragraphs>
  <ScaleCrop>false</ScaleCrop>
  <Company/>
  <LinksUpToDate>false</LinksUpToDate>
  <CharactersWithSpaces>5203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Mauro Novelli</dc:creator>
  <cp:lastModifiedBy>Mauro Novelli</cp:lastModifiedBy>
  <cp:revision>1</cp:revision>
  <dcterms:created xsi:type="dcterms:W3CDTF">2013-04-25T05:39:00Z</dcterms:created>
  <dcterms:modified xsi:type="dcterms:W3CDTF">2013-04-25T05:44:00Z</dcterms:modified>
</cp:coreProperties>
</file>