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146" w:rsidRDefault="00992146" w:rsidP="00992146">
      <w:pPr>
        <w:pStyle w:val="Nessunaspaziatura"/>
        <w:ind w:left="284"/>
      </w:pPr>
      <w:r>
        <w:t>COMUNICATO STAMPA</w:t>
      </w:r>
    </w:p>
    <w:p w:rsidR="00992146" w:rsidRDefault="00992146" w:rsidP="00992146">
      <w:pPr>
        <w:pStyle w:val="Nessunaspaziatura"/>
        <w:tabs>
          <w:tab w:val="left" w:pos="142"/>
        </w:tabs>
        <w:ind w:left="0"/>
      </w:pPr>
    </w:p>
    <w:p w:rsidR="00992146" w:rsidRDefault="00992146" w:rsidP="00992146">
      <w:pPr>
        <w:pStyle w:val="Nessunaspaziatura"/>
        <w:tabs>
          <w:tab w:val="left" w:pos="142"/>
        </w:tabs>
        <w:ind w:left="0"/>
      </w:pPr>
      <w:r>
        <w:t>CREDITI ALLEGRI: PER BANKITALIA LE BANCHE INCREMENTANO LE SOFFERENZE DEL 19% IN 12 MESI DA 107 A 127 MILIARDI DI EURO (+20 MLD), MA CRITERI NON RIGOROSI POSSONO OCCULTARE, O RINVIARE SINE DIE,</w:t>
      </w:r>
      <w:r>
        <w:t xml:space="preserve"> </w:t>
      </w:r>
      <w:r>
        <w:t>ULTERIORI PERDITE.</w:t>
      </w:r>
      <w:r>
        <w:t xml:space="preserve"> </w:t>
      </w:r>
      <w:r>
        <w:t>PER STUDIO R&amp;S DI MEDIOBANCA,</w:t>
      </w:r>
      <w:r>
        <w:t xml:space="preserve"> </w:t>
      </w:r>
      <w:bookmarkStart w:id="0" w:name="_GoBack"/>
      <w:bookmarkEnd w:id="0"/>
      <w:r>
        <w:t xml:space="preserve">181 MLD CREDITI DETERIORATI PRIME 5 BANCHE </w:t>
      </w:r>
    </w:p>
    <w:p w:rsidR="00992146" w:rsidRDefault="00992146" w:rsidP="00992146">
      <w:pPr>
        <w:pStyle w:val="Nessunaspaziatura"/>
        <w:tabs>
          <w:tab w:val="left" w:pos="142"/>
        </w:tabs>
        <w:ind w:left="0"/>
      </w:pPr>
    </w:p>
    <w:p w:rsidR="00992146" w:rsidRDefault="00992146" w:rsidP="00992146">
      <w:pPr>
        <w:pStyle w:val="Nessunaspaziatura"/>
        <w:tabs>
          <w:tab w:val="left" w:pos="142"/>
        </w:tabs>
        <w:ind w:left="0"/>
      </w:pPr>
      <w:r>
        <w:t xml:space="preserve">  Per le sofferenze bancarie, arrivate a 127,65 miliardi di euro a febbraio 2013,con un aumento  del 19% rispetto ad un anno prima quando erano attestate a 107,63 </w:t>
      </w:r>
      <w:proofErr w:type="spellStart"/>
      <w:r>
        <w:t>mld</w:t>
      </w:r>
      <w:proofErr w:type="spellEnd"/>
      <w:r>
        <w:t>, le autorità di vigilanza hanno codificato i vari stadi di deterioramento. "</w:t>
      </w:r>
      <w:proofErr w:type="spellStart"/>
      <w:r>
        <w:t>Past</w:t>
      </w:r>
      <w:proofErr w:type="spellEnd"/>
      <w:r>
        <w:t xml:space="preserve"> due": sconfinamento continuativo per 90 giorni superiore al 5% del fido concesso. "Incaglio oggettivo": se il singolo rapporto rimane in rosso oltre 270 giorni sopra al 10% del fido. Infine "incaglio": ovvero stato di crisi conclamata. In assenza di controlli rigorosi, le banche possono decidere autonomamente se mandare la posizione "a contenzioso" (addebitando sul conto economico circa il 50% dell'ammontare del rosso), oppure continuare a tenerla aperta (accantonando molto meno).</w:t>
      </w:r>
    </w:p>
    <w:p w:rsidR="00992146" w:rsidRDefault="00992146" w:rsidP="00992146">
      <w:pPr>
        <w:pStyle w:val="Nessunaspaziatura"/>
        <w:tabs>
          <w:tab w:val="left" w:pos="142"/>
        </w:tabs>
        <w:ind w:left="0"/>
      </w:pPr>
      <w:r>
        <w:t>   In 12 mesi le Società non finanziarie, hanno registrato un aumento del 21% delle sofferenze, passate da  70.628        milioni di euro a 85.415; le Famiglie Consumatrici, hanno incrementato di un + 14,7%,passando da 25.116         a 28.804 milioni di euro; le  Famiglie Produttrici      sono state le più virtuose incrementando del 12,3% le sofferenze bancarie, passate  da 10.481 a 11.765 milioni di euro.</w:t>
      </w:r>
    </w:p>
    <w:p w:rsidR="00992146" w:rsidRDefault="00992146" w:rsidP="00992146">
      <w:pPr>
        <w:pStyle w:val="Nessunaspaziatura"/>
        <w:tabs>
          <w:tab w:val="left" w:pos="142"/>
        </w:tabs>
        <w:ind w:left="0"/>
      </w:pPr>
      <w:r>
        <w:t xml:space="preserve">    Secondo il più recente studio di R&amp;S di Mediobanca, il fardello di crediti deteriorati lordi, è pari a 166 miliardi di euro solo per le prime quattro banche italiane: lo stock per Unicredit ha toccato a fine settembre 2012 la cifra di 80,4 miliardi; Intesa Sanpaolo ne ha per 47,5 miliardi; </w:t>
      </w:r>
      <w:proofErr w:type="spellStart"/>
      <w:r>
        <w:t>Mps</w:t>
      </w:r>
      <w:proofErr w:type="spellEnd"/>
      <w:r>
        <w:t xml:space="preserve"> vanta uno stock di crediti dubbi per un valore di 28,2 miliardi e </w:t>
      </w:r>
      <w:proofErr w:type="spellStart"/>
      <w:r>
        <w:t>Ubi</w:t>
      </w:r>
      <w:proofErr w:type="spellEnd"/>
      <w:r>
        <w:t xml:space="preserve"> ne ha per 10,3 miliardi. Si aggiungano i 15,8 miliardi del Banco Popolare e le prime 5 banche del paese arrivano ad avere in pancia prestiti a rischio per oltre 181 miliardi.</w:t>
      </w:r>
    </w:p>
    <w:p w:rsidR="00992146" w:rsidRDefault="00992146" w:rsidP="00992146">
      <w:pPr>
        <w:pStyle w:val="Nessunaspaziatura"/>
        <w:tabs>
          <w:tab w:val="left" w:pos="142"/>
        </w:tabs>
        <w:ind w:left="0"/>
      </w:pPr>
      <w:r>
        <w:t xml:space="preserve">   Secondo Mediobanca, se poniamo lo stock di credito problematico in rapporto con l'indice Core </w:t>
      </w:r>
      <w:proofErr w:type="spellStart"/>
      <w:r>
        <w:t>tier</w:t>
      </w:r>
      <w:proofErr w:type="spellEnd"/>
      <w:r>
        <w:t xml:space="preserve"> 1, uno dei principali indicatori del capitale, che evidenzia la solidità delle banche, otteniamo questi valori: Credem 38%, </w:t>
      </w:r>
      <w:proofErr w:type="spellStart"/>
      <w:r>
        <w:t>IntesaSanpaolo</w:t>
      </w:r>
      <w:proofErr w:type="spellEnd"/>
      <w:r>
        <w:t xml:space="preserve"> 59%, </w:t>
      </w:r>
      <w:proofErr w:type="spellStart"/>
      <w:r>
        <w:t>Bpm</w:t>
      </w:r>
      <w:proofErr w:type="spellEnd"/>
      <w:r>
        <w:t xml:space="preserve"> 63%; </w:t>
      </w:r>
      <w:proofErr w:type="spellStart"/>
      <w:r>
        <w:t>Ubi</w:t>
      </w:r>
      <w:proofErr w:type="spellEnd"/>
      <w:r>
        <w:t xml:space="preserve"> 73%, Unicredit 82%, </w:t>
      </w:r>
      <w:proofErr w:type="spellStart"/>
      <w:r>
        <w:t>Bper</w:t>
      </w:r>
      <w:proofErr w:type="spellEnd"/>
      <w:r>
        <w:t xml:space="preserve"> 109%, </w:t>
      </w:r>
      <w:proofErr w:type="spellStart"/>
      <w:r>
        <w:t>Mps</w:t>
      </w:r>
      <w:proofErr w:type="spellEnd"/>
      <w:r>
        <w:t xml:space="preserve"> 140% e Banco Popolare 154%. Al 30 settembre 2012, i crediti deteriorati MPS rappresentano il 12% di quelli totali alla clientela, con un incremento del 4,23% rispetto al 31 marzo 2011. I principali competitors (Intesa San Paolo ed Unicredit) si attestano invece intorno all’1,7-1,8%.</w:t>
      </w:r>
    </w:p>
    <w:p w:rsidR="00992146" w:rsidRDefault="00992146" w:rsidP="00992146">
      <w:pPr>
        <w:pStyle w:val="Nessunaspaziatura"/>
        <w:tabs>
          <w:tab w:val="left" w:pos="142"/>
        </w:tabs>
        <w:ind w:left="0"/>
      </w:pPr>
      <w:r>
        <w:t xml:space="preserve">   Per quanto riguarda il dato relativo ai soli crediti in sofferenza, Banca MPS presenta al 30 settembre 2012 un’incidenza maggiore sul totale dei crediti (5,06%) rispetto ai competitors principali (Intesa San Paolo ed Unicredit, rispettivamente 2,85% e 3,37%); anche l’incremento di tale valore nel periodo 31 marzo 2011 – 30 </w:t>
      </w:r>
      <w:r>
        <w:lastRenderedPageBreak/>
        <w:t>settembre 2012 ha penalizzato Banca MPS rispetto ai competitors (1,44% contro rispettivamente 0,85% e 0,64%). Il tasso di copertura totale, invece, varia di molto da banca a banca: MPS presenta un tasso di copertura totale pari al 38,4%, inferiore rispetto a quello dell’Unicredit 43,1% ed a quello di Intesa San Paolo 42,6%. Per quanto concerne i crediti incagliati il tasso di copertura di Intesa San Paolo ed Unicredit non raggiungono il 30%. MPS si attesta al 20,3%.</w:t>
      </w:r>
    </w:p>
    <w:p w:rsidR="00992146" w:rsidRDefault="00992146" w:rsidP="00992146">
      <w:pPr>
        <w:pStyle w:val="Nessunaspaziatura"/>
        <w:tabs>
          <w:tab w:val="left" w:pos="142"/>
        </w:tabs>
        <w:ind w:left="0"/>
      </w:pPr>
      <w:r>
        <w:t>   Le rettifiche nette di valore per deterioramento di crediti operate nel bilancio BMPS sono pari a circa 1,37 €/</w:t>
      </w:r>
      <w:proofErr w:type="spellStart"/>
      <w:r>
        <w:t>mld</w:t>
      </w:r>
      <w:proofErr w:type="spellEnd"/>
      <w:r>
        <w:t xml:space="preserve"> al 30 settembre 2012, contro un importo pari ad € 1,31 per tutto l’esercizio 2011. Si sottolinea, infine, che le garanzie assistite da immobili potrebbero rivelarsi assai fragili considerati il ristagno delle compravendite ed il tendenziale calo dei prezzi.</w:t>
      </w:r>
    </w:p>
    <w:p w:rsidR="00992146" w:rsidRDefault="00992146" w:rsidP="00992146">
      <w:pPr>
        <w:pStyle w:val="Nessunaspaziatura"/>
        <w:tabs>
          <w:tab w:val="left" w:pos="142"/>
        </w:tabs>
        <w:ind w:left="0"/>
        <w:rPr>
          <w:sz w:val="20"/>
          <w:szCs w:val="20"/>
        </w:rPr>
      </w:pPr>
    </w:p>
    <w:p w:rsidR="00992146" w:rsidRPr="00992146" w:rsidRDefault="00992146" w:rsidP="00992146">
      <w:pPr>
        <w:pStyle w:val="Nessunaspaziatura"/>
        <w:tabs>
          <w:tab w:val="left" w:pos="142"/>
        </w:tabs>
        <w:ind w:left="0"/>
        <w:jc w:val="center"/>
        <w:rPr>
          <w:b/>
          <w:sz w:val="20"/>
          <w:szCs w:val="20"/>
        </w:rPr>
      </w:pPr>
      <w:r w:rsidRPr="00992146">
        <w:rPr>
          <w:b/>
          <w:sz w:val="20"/>
          <w:szCs w:val="20"/>
        </w:rPr>
        <w:t>Sofferenze bancarie.</w:t>
      </w:r>
    </w:p>
    <w:p w:rsidR="00992146" w:rsidRPr="00992146" w:rsidRDefault="00992146" w:rsidP="00992146">
      <w:pPr>
        <w:pStyle w:val="Nessunaspaziatura"/>
        <w:tabs>
          <w:tab w:val="left" w:pos="142"/>
        </w:tabs>
        <w:ind w:left="0"/>
        <w:jc w:val="center"/>
        <w:rPr>
          <w:b/>
          <w:sz w:val="20"/>
          <w:szCs w:val="20"/>
        </w:rPr>
      </w:pPr>
      <w:r w:rsidRPr="00992146">
        <w:rPr>
          <w:b/>
          <w:sz w:val="20"/>
          <w:szCs w:val="20"/>
        </w:rPr>
        <w:t xml:space="preserve">Fonte </w:t>
      </w:r>
      <w:proofErr w:type="spellStart"/>
      <w:r w:rsidRPr="00992146">
        <w:rPr>
          <w:b/>
          <w:sz w:val="20"/>
          <w:szCs w:val="20"/>
        </w:rPr>
        <w:t>Bankitalia</w:t>
      </w:r>
      <w:proofErr w:type="spellEnd"/>
      <w:r w:rsidRPr="00992146">
        <w:rPr>
          <w:b/>
          <w:sz w:val="20"/>
          <w:szCs w:val="20"/>
        </w:rPr>
        <w:t xml:space="preserve">. </w:t>
      </w:r>
      <w:proofErr w:type="spellStart"/>
      <w:r w:rsidRPr="00992146">
        <w:rPr>
          <w:b/>
          <w:sz w:val="20"/>
          <w:szCs w:val="20"/>
        </w:rPr>
        <w:t>Suppl</w:t>
      </w:r>
      <w:proofErr w:type="spellEnd"/>
      <w:r w:rsidRPr="00992146">
        <w:rPr>
          <w:b/>
          <w:sz w:val="20"/>
          <w:szCs w:val="20"/>
        </w:rPr>
        <w:t xml:space="preserve">. </w:t>
      </w:r>
      <w:proofErr w:type="spellStart"/>
      <w:r w:rsidRPr="00992146">
        <w:rPr>
          <w:b/>
          <w:sz w:val="20"/>
          <w:szCs w:val="20"/>
        </w:rPr>
        <w:t>Boll</w:t>
      </w:r>
      <w:proofErr w:type="spellEnd"/>
      <w:r w:rsidRPr="00992146">
        <w:rPr>
          <w:b/>
          <w:sz w:val="20"/>
          <w:szCs w:val="20"/>
        </w:rPr>
        <w:t>. Statistico “Moneta e banche” n° 16 del 9-4-2013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6"/>
        <w:gridCol w:w="1092"/>
        <w:gridCol w:w="1188"/>
        <w:gridCol w:w="1541"/>
      </w:tblGrid>
      <w:tr w:rsidR="00992146" w:rsidTr="00992146">
        <w:trPr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46" w:rsidRDefault="00992146" w:rsidP="00992146">
            <w:pPr>
              <w:spacing w:after="0" w:afterAutospacing="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sz w:val="20"/>
                <w:szCs w:val="20"/>
              </w:rPr>
              <w:br w:type="page"/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 w:rsidP="00992146">
            <w:pPr>
              <w:spacing w:after="0" w:afterAutospacing="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FEB. 2012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 w:rsidP="00992146">
            <w:pPr>
              <w:spacing w:after="0" w:afterAutospacing="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Feb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.  2013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 w:rsidP="00992146">
            <w:pPr>
              <w:spacing w:after="0" w:afterAutospacing="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Variaz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 xml:space="preserve">.  % </w:t>
            </w:r>
          </w:p>
          <w:p w:rsidR="00992146" w:rsidRDefault="00992146" w:rsidP="00992146">
            <w:pPr>
              <w:spacing w:after="0" w:afterAutospacing="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2.2013/2.2012</w:t>
            </w:r>
          </w:p>
        </w:tc>
      </w:tr>
      <w:tr w:rsidR="00992146" w:rsidTr="00992146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Totale sofferenze </w:t>
            </w:r>
            <w:r>
              <w:rPr>
                <w:b/>
                <w:bCs/>
                <w:sz w:val="16"/>
                <w:szCs w:val="16"/>
                <w:lang w:eastAsia="en-US"/>
              </w:rPr>
              <w:t>(in milioni euro)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107.637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127.655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+ 19,0</w:t>
            </w:r>
          </w:p>
        </w:tc>
      </w:tr>
      <w:tr w:rsidR="00992146" w:rsidTr="00992146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di cui ….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992146" w:rsidTr="00992146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.. Società non finanziarie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70.628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85.415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+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21,0</w:t>
            </w:r>
          </w:p>
        </w:tc>
      </w:tr>
      <w:tr w:rsidR="00992146" w:rsidTr="00992146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.. Famiglie Consumatrici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25.116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28.804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+ 14,7</w:t>
            </w:r>
          </w:p>
        </w:tc>
      </w:tr>
      <w:tr w:rsidR="00992146" w:rsidTr="00992146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.. Famiglie Produttrici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10.481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11.765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146" w:rsidRDefault="0099214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+ 12,3</w:t>
            </w:r>
          </w:p>
        </w:tc>
      </w:tr>
    </w:tbl>
    <w:p w:rsidR="00992146" w:rsidRDefault="00992146" w:rsidP="00992146">
      <w:pPr>
        <w:rPr>
          <w:rFonts w:ascii="Calibri" w:hAnsi="Calibri"/>
          <w:sz w:val="22"/>
          <w:szCs w:val="22"/>
        </w:rPr>
      </w:pPr>
    </w:p>
    <w:p w:rsidR="00C200C3" w:rsidRDefault="00C200C3"/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146"/>
    <w:rsid w:val="00130235"/>
    <w:rsid w:val="001A3C40"/>
    <w:rsid w:val="002E4C34"/>
    <w:rsid w:val="00370059"/>
    <w:rsid w:val="004F322C"/>
    <w:rsid w:val="005F3BF0"/>
    <w:rsid w:val="00632BCB"/>
    <w:rsid w:val="007339EC"/>
    <w:rsid w:val="00754201"/>
    <w:rsid w:val="00873879"/>
    <w:rsid w:val="0094402A"/>
    <w:rsid w:val="00992146"/>
    <w:rsid w:val="00A42182"/>
    <w:rsid w:val="00B35AE5"/>
    <w:rsid w:val="00B90F78"/>
    <w:rsid w:val="00C200C3"/>
    <w:rsid w:val="00C55771"/>
    <w:rsid w:val="00C76E16"/>
    <w:rsid w:val="00D07FAE"/>
    <w:rsid w:val="00D709E1"/>
    <w:rsid w:val="00DB5BBF"/>
    <w:rsid w:val="00E612FB"/>
    <w:rsid w:val="00EE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="Times New Roman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2146"/>
    <w:pPr>
      <w:spacing w:after="100"/>
    </w:pPr>
    <w:rPr>
      <w:rFonts w:eastAsiaTheme="minorHAnsi"/>
      <w:bCs w:val="0"/>
      <w:iCs w:val="0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eastAsia="Times New Roman" w:cs="Century Gothic"/>
      <w:b/>
      <w:iCs/>
      <w:kern w:val="36"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eastAsia="Times New Roman" w:cs="Century Gothic"/>
      <w:bCs/>
      <w:iCs/>
      <w:kern w:val="36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eastAsia="Times New Roman" w:cs="Century Gothic"/>
      <w:b/>
      <w:iCs/>
      <w:kern w:val="36"/>
      <w:sz w:val="22"/>
      <w:szCs w:val="22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eastAsia="Times New Roman" w:hAnsi="Times New Roman"/>
      <w:b/>
      <w:iCs/>
      <w:kern w:val="36"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eastAsia="Times New Roman" w:hAnsi="Times New Roman"/>
      <w:b/>
      <w:iCs/>
      <w:kern w:val="36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130235"/>
    <w:rPr>
      <w:rFonts w:ascii="Century Gothic" w:eastAsia="SimSun" w:hAnsi="Century Gothic" w:hint="default"/>
      <w:color w:val="000000" w:themeColor="text1"/>
      <w:sz w:val="22"/>
      <w:szCs w:val="28"/>
    </w:rPr>
  </w:style>
  <w:style w:type="paragraph" w:styleId="NormaleWeb">
    <w:name w:val="Normal (Web)"/>
    <w:basedOn w:val="Normale"/>
    <w:uiPriority w:val="99"/>
    <w:unhideWhenUsed/>
    <w:rsid w:val="00130235"/>
    <w:pPr>
      <w:spacing w:before="100" w:beforeAutospacing="1"/>
    </w:pPr>
    <w:rPr>
      <w:rFonts w:ascii="Times New Roman" w:eastAsia="Times New Roman" w:hAnsi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eastAsia="Times New Roman" w:hAnsi="Arial" w:cs="Arial"/>
      <w:b/>
      <w:iCs/>
      <w:kern w:val="36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after="0"/>
      <w:ind w:left="600"/>
    </w:pPr>
    <w:rPr>
      <w:rFonts w:asciiTheme="majorHAnsi" w:eastAsiaTheme="majorEastAsia" w:hAnsiTheme="majorHAnsi" w:cstheme="majorBidi"/>
      <w:bCs/>
      <w:i/>
      <w:color w:val="4F81BD" w:themeColor="accent1"/>
      <w:spacing w:val="15"/>
      <w:kern w:val="36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5F3BF0"/>
    <w:pPr>
      <w:tabs>
        <w:tab w:val="left" w:pos="708"/>
      </w:tabs>
      <w:spacing w:before="100" w:beforeAutospacing="1"/>
      <w:ind w:left="170" w:right="-39"/>
    </w:pPr>
    <w:rPr>
      <w:rFonts w:cs="Century Gothic"/>
      <w:color w:val="C00000"/>
      <w:szCs w:val="22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5F3BF0"/>
    <w:rPr>
      <w:rFonts w:ascii="Century Gothic" w:hAnsi="Century Gothic" w:cs="Century Gothic"/>
      <w:color w:val="C00000"/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  <w:sz w:val="22"/>
      <w:szCs w:val="22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  <w:jc w:val="both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 w:line="276" w:lineRule="auto"/>
      <w:ind w:left="0" w:right="0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after="0"/>
      <w:ind w:right="-2"/>
      <w:jc w:val="both"/>
    </w:pPr>
    <w:rPr>
      <w:rFonts w:eastAsia="Times New Roman"/>
      <w:bCs/>
      <w:iCs/>
      <w:kern w:val="36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after="0"/>
      <w:ind w:left="440"/>
    </w:pPr>
    <w:rPr>
      <w:rFonts w:ascii="Times New Roman" w:eastAsia="Times New Roman" w:hAnsi="Times New Roman"/>
      <w:bCs/>
      <w:iCs/>
      <w:kern w:val="36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after="0"/>
    </w:pPr>
    <w:rPr>
      <w:rFonts w:ascii="Times New Roman" w:eastAsia="Times New Roman" w:hAnsi="Times New Roman"/>
      <w:bCs/>
      <w:iCs/>
      <w:kern w:val="36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after="0"/>
    </w:pPr>
    <w:rPr>
      <w:rFonts w:ascii="Times New Roman" w:eastAsia="Times New Roman" w:hAnsi="Times New Roman"/>
      <w:bCs/>
      <w:iCs/>
      <w:kern w:val="36"/>
      <w:sz w:val="22"/>
      <w:szCs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after="0"/>
    </w:pPr>
    <w:rPr>
      <w:rFonts w:ascii="Times New Roman" w:eastAsia="Times New Roman" w:hAnsi="Times New Roman"/>
      <w:bCs/>
      <w:iCs/>
      <w:kern w:val="36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after="0"/>
    </w:pPr>
    <w:rPr>
      <w:rFonts w:eastAsia="Times New Roman"/>
      <w:bCs/>
      <w:iCs/>
      <w:kern w:val="36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after="0"/>
      <w:ind w:left="480"/>
    </w:pPr>
    <w:rPr>
      <w:rFonts w:eastAsia="Times New Roman"/>
      <w:bCs/>
      <w:iCs/>
      <w:color w:val="FF0000"/>
      <w:kern w:val="36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after="0"/>
    </w:pPr>
    <w:rPr>
      <w:rFonts w:ascii="Calibri" w:eastAsia="Times New Roman" w:hAnsi="Calibri"/>
      <w:bCs/>
      <w:iCs/>
      <w:kern w:val="36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after="0"/>
    </w:pPr>
    <w:rPr>
      <w:rFonts w:ascii="Tahoma" w:eastAsia="Times New Roman" w:hAnsi="Tahoma" w:cs="Tahoma"/>
      <w:bCs/>
      <w:iCs/>
      <w:kern w:val="3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pPr>
      <w:spacing w:afterAutospacing="0"/>
    </w:pPr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after="0"/>
      <w:ind w:left="2160"/>
      <w:jc w:val="both"/>
    </w:pPr>
    <w:rPr>
      <w:rFonts w:eastAsia="Times New Roman"/>
      <w:bCs/>
      <w:iCs/>
      <w:color w:val="0F243E"/>
      <w:kern w:val="36"/>
    </w:rPr>
  </w:style>
  <w:style w:type="paragraph" w:styleId="Paragrafoelenco">
    <w:name w:val="List Paragraph"/>
    <w:basedOn w:val="Normale"/>
    <w:uiPriority w:val="34"/>
    <w:qFormat/>
    <w:rsid w:val="00130235"/>
    <w:pPr>
      <w:spacing w:after="0"/>
      <w:ind w:left="720"/>
    </w:pPr>
    <w:rPr>
      <w:rFonts w:eastAsia="Times New Roman"/>
      <w:bCs/>
      <w:iCs/>
      <w:kern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="Times New Roman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2146"/>
    <w:pPr>
      <w:spacing w:after="100"/>
    </w:pPr>
    <w:rPr>
      <w:rFonts w:eastAsiaTheme="minorHAnsi"/>
      <w:bCs w:val="0"/>
      <w:iCs w:val="0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eastAsia="Times New Roman" w:cs="Century Gothic"/>
      <w:b/>
      <w:iCs/>
      <w:kern w:val="36"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eastAsia="Times New Roman" w:cs="Century Gothic"/>
      <w:bCs/>
      <w:iCs/>
      <w:kern w:val="36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eastAsia="Times New Roman" w:cs="Century Gothic"/>
      <w:b/>
      <w:iCs/>
      <w:kern w:val="36"/>
      <w:sz w:val="22"/>
      <w:szCs w:val="22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eastAsia="Times New Roman" w:hAnsi="Times New Roman"/>
      <w:b/>
      <w:iCs/>
      <w:kern w:val="36"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eastAsia="Times New Roman" w:hAnsi="Times New Roman"/>
      <w:b/>
      <w:iCs/>
      <w:kern w:val="36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130235"/>
    <w:rPr>
      <w:rFonts w:ascii="Century Gothic" w:eastAsia="SimSun" w:hAnsi="Century Gothic" w:hint="default"/>
      <w:color w:val="000000" w:themeColor="text1"/>
      <w:sz w:val="22"/>
      <w:szCs w:val="28"/>
    </w:rPr>
  </w:style>
  <w:style w:type="paragraph" w:styleId="NormaleWeb">
    <w:name w:val="Normal (Web)"/>
    <w:basedOn w:val="Normale"/>
    <w:uiPriority w:val="99"/>
    <w:unhideWhenUsed/>
    <w:rsid w:val="00130235"/>
    <w:pPr>
      <w:spacing w:before="100" w:beforeAutospacing="1"/>
    </w:pPr>
    <w:rPr>
      <w:rFonts w:ascii="Times New Roman" w:eastAsia="Times New Roman" w:hAnsi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eastAsia="Times New Roman" w:hAnsi="Arial" w:cs="Arial"/>
      <w:b/>
      <w:iCs/>
      <w:kern w:val="36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after="0"/>
      <w:ind w:left="600"/>
    </w:pPr>
    <w:rPr>
      <w:rFonts w:asciiTheme="majorHAnsi" w:eastAsiaTheme="majorEastAsia" w:hAnsiTheme="majorHAnsi" w:cstheme="majorBidi"/>
      <w:bCs/>
      <w:i/>
      <w:color w:val="4F81BD" w:themeColor="accent1"/>
      <w:spacing w:val="15"/>
      <w:kern w:val="36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5F3BF0"/>
    <w:pPr>
      <w:tabs>
        <w:tab w:val="left" w:pos="708"/>
      </w:tabs>
      <w:spacing w:before="100" w:beforeAutospacing="1"/>
      <w:ind w:left="170" w:right="-39"/>
    </w:pPr>
    <w:rPr>
      <w:rFonts w:cs="Century Gothic"/>
      <w:color w:val="C00000"/>
      <w:szCs w:val="22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5F3BF0"/>
    <w:rPr>
      <w:rFonts w:ascii="Century Gothic" w:hAnsi="Century Gothic" w:cs="Century Gothic"/>
      <w:color w:val="C00000"/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  <w:sz w:val="22"/>
      <w:szCs w:val="22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  <w:jc w:val="both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 w:line="276" w:lineRule="auto"/>
      <w:ind w:left="0" w:right="0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after="0"/>
      <w:ind w:right="-2"/>
      <w:jc w:val="both"/>
    </w:pPr>
    <w:rPr>
      <w:rFonts w:eastAsia="Times New Roman"/>
      <w:bCs/>
      <w:iCs/>
      <w:kern w:val="36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after="0"/>
      <w:ind w:left="440"/>
    </w:pPr>
    <w:rPr>
      <w:rFonts w:ascii="Times New Roman" w:eastAsia="Times New Roman" w:hAnsi="Times New Roman"/>
      <w:bCs/>
      <w:iCs/>
      <w:kern w:val="36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after="0"/>
    </w:pPr>
    <w:rPr>
      <w:rFonts w:ascii="Times New Roman" w:eastAsia="Times New Roman" w:hAnsi="Times New Roman"/>
      <w:bCs/>
      <w:iCs/>
      <w:kern w:val="36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after="0"/>
    </w:pPr>
    <w:rPr>
      <w:rFonts w:ascii="Times New Roman" w:eastAsia="Times New Roman" w:hAnsi="Times New Roman"/>
      <w:bCs/>
      <w:iCs/>
      <w:kern w:val="36"/>
      <w:sz w:val="22"/>
      <w:szCs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after="0"/>
    </w:pPr>
    <w:rPr>
      <w:rFonts w:ascii="Times New Roman" w:eastAsia="Times New Roman" w:hAnsi="Times New Roman"/>
      <w:bCs/>
      <w:iCs/>
      <w:kern w:val="36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after="0"/>
    </w:pPr>
    <w:rPr>
      <w:rFonts w:eastAsia="Times New Roman"/>
      <w:bCs/>
      <w:iCs/>
      <w:kern w:val="36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after="0"/>
      <w:ind w:left="480"/>
    </w:pPr>
    <w:rPr>
      <w:rFonts w:eastAsia="Times New Roman"/>
      <w:bCs/>
      <w:iCs/>
      <w:color w:val="FF0000"/>
      <w:kern w:val="36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after="0"/>
    </w:pPr>
    <w:rPr>
      <w:rFonts w:ascii="Calibri" w:eastAsia="Times New Roman" w:hAnsi="Calibri"/>
      <w:bCs/>
      <w:iCs/>
      <w:kern w:val="36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after="0"/>
    </w:pPr>
    <w:rPr>
      <w:rFonts w:ascii="Tahoma" w:eastAsia="Times New Roman" w:hAnsi="Tahoma" w:cs="Tahoma"/>
      <w:bCs/>
      <w:iCs/>
      <w:kern w:val="3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pPr>
      <w:spacing w:afterAutospacing="0"/>
    </w:pPr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after="0"/>
      <w:ind w:left="2160"/>
      <w:jc w:val="both"/>
    </w:pPr>
    <w:rPr>
      <w:rFonts w:eastAsia="Times New Roman"/>
      <w:bCs/>
      <w:iCs/>
      <w:color w:val="0F243E"/>
      <w:kern w:val="36"/>
    </w:rPr>
  </w:style>
  <w:style w:type="paragraph" w:styleId="Paragrafoelenco">
    <w:name w:val="List Paragraph"/>
    <w:basedOn w:val="Normale"/>
    <w:uiPriority w:val="34"/>
    <w:qFormat/>
    <w:rsid w:val="00130235"/>
    <w:pPr>
      <w:spacing w:after="0"/>
      <w:ind w:left="720"/>
    </w:pPr>
    <w:rPr>
      <w:rFonts w:eastAsia="Times New Roman"/>
      <w:bCs/>
      <w:iCs/>
      <w:kern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9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614</Words>
  <Characters>3502</Characters>
  <Application>Microsoft Office Word</Application>
  <DocSecurity>0</DocSecurity>
  <Lines>29</Lines>
  <Paragraphs>8</Paragraphs>
  <ScaleCrop>false</ScaleCrop>
  <Company/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1</cp:revision>
  <dcterms:created xsi:type="dcterms:W3CDTF">2013-04-09T14:38:00Z</dcterms:created>
  <dcterms:modified xsi:type="dcterms:W3CDTF">2013-04-09T14:42:00Z</dcterms:modified>
</cp:coreProperties>
</file>