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49D" w:rsidRPr="0045149D" w:rsidRDefault="0045149D" w:rsidP="0045149D">
      <w:pPr>
        <w:jc w:val="center"/>
        <w:rPr>
          <w:rFonts w:ascii="Century Gothic" w:hAnsi="Century Gothic"/>
          <w:b/>
          <w:bCs/>
        </w:rPr>
      </w:pPr>
      <w:r w:rsidRPr="0045149D">
        <w:rPr>
          <w:rFonts w:ascii="Century Gothic" w:hAnsi="Century Gothic"/>
          <w:b/>
          <w:bCs/>
        </w:rPr>
        <w:t>COMUNICATO STAMPA</w:t>
      </w:r>
    </w:p>
    <w:p w:rsidR="0045149D" w:rsidRPr="0045149D" w:rsidRDefault="0045149D" w:rsidP="0045149D">
      <w:pPr>
        <w:pStyle w:val="Nessunaspaziatura"/>
        <w:ind w:left="0"/>
        <w:jc w:val="center"/>
        <w:rPr>
          <w:sz w:val="22"/>
          <w:szCs w:val="22"/>
        </w:rPr>
      </w:pPr>
      <w:bookmarkStart w:id="0" w:name="_GoBack"/>
      <w:bookmarkEnd w:id="0"/>
      <w:r w:rsidRPr="0045149D">
        <w:rPr>
          <w:sz w:val="22"/>
          <w:szCs w:val="22"/>
        </w:rPr>
        <w:t>BANCHE:  BENE ALIQUOTA 26% SU RIVALUTAZIONE QUOTE BANKITALIA, MA SENZA BLOCCO TRIENNALE TARIFFE BANCARIE, SARA’ UNA PARTITA DI GIRO SCARICATA SUGLI UTENTI,CHE GIA’ PAGANO COSTI  CONTI CORRENTI ELEVATI ( 371 EURO IN ITALIA,CONTRO 114 MEDIA UE), E TASSI PROIBITIVI SU MUTUI E PRESTITI.</w:t>
      </w:r>
    </w:p>
    <w:p w:rsidR="0045149D" w:rsidRPr="0045149D" w:rsidRDefault="0045149D" w:rsidP="0045149D">
      <w:pPr>
        <w:pStyle w:val="Nessunaspaziatura"/>
        <w:ind w:left="0"/>
        <w:jc w:val="center"/>
        <w:rPr>
          <w:sz w:val="22"/>
          <w:szCs w:val="22"/>
        </w:rPr>
      </w:pPr>
    </w:p>
    <w:p w:rsidR="0045149D" w:rsidRPr="0045149D" w:rsidRDefault="0045149D" w:rsidP="0045149D">
      <w:pPr>
        <w:pStyle w:val="Nessunaspaziatura"/>
        <w:ind w:left="0"/>
        <w:rPr>
          <w:sz w:val="22"/>
          <w:szCs w:val="22"/>
        </w:rPr>
      </w:pPr>
      <w:r w:rsidRPr="0045149D">
        <w:rPr>
          <w:sz w:val="22"/>
          <w:szCs w:val="22"/>
        </w:rPr>
        <w:t xml:space="preserve">    Adusbef e Federconsumatori, apprezzano aumento aliquota al 26% su rivalutazione quote Bankitalia, ma per evitare che le banche possano continuare indisturbate a spennare e taglieggiare i correntisti con costi, spese, salati tassi  e commissioni proibitivi, che portano un conto corrente a costare in Italia 371,20 euro l’anno, contro una media UE di 114 euro, chiedono un blocco triennale delle tariffe bancarie, per non far addossare con una partita di raggiro, i maggiori oneri valutati in circa 35 euro a correntista. </w:t>
      </w:r>
    </w:p>
    <w:p w:rsidR="0045149D" w:rsidRPr="0045149D" w:rsidRDefault="0045149D" w:rsidP="0045149D">
      <w:pPr>
        <w:pStyle w:val="Nessunaspaziatura"/>
        <w:ind w:left="0"/>
        <w:rPr>
          <w:sz w:val="22"/>
          <w:szCs w:val="22"/>
        </w:rPr>
      </w:pPr>
      <w:r w:rsidRPr="0045149D">
        <w:rPr>
          <w:sz w:val="22"/>
          <w:szCs w:val="22"/>
        </w:rPr>
        <w:t>  Per togliere la tentazione alle banche avide, che già negli ultimi 12 mesi hanno effettuato uno stillicidio infinito di aumenti e ritocchi che ha fatto lievitare del 18,7% in media i costi delle operazioni, con rincari   sulle utenze pagate allo sportello di 3 euro invece di 2,5; prelevare contanti allo sportello  2 euro rispetto a 1,50 (+0,50 centesimi);  bonificare un conto sulla propria banca arrivato a 4 euro contro i 3,5 euro; 4,50 se ad altra banca contro i precedenti 4 euro; chiedere l’estratto conto 1 euro contro 0,50 centesimi; prelevare contante da sportelli automatici di altre banche 2,10 euro (+10 centesimi); gestire un portafoglio titoli 55 euro contro 50  (+5 euro), serve un urgente decreto di congelamento di tutte le tariffe bancarie.</w:t>
      </w:r>
    </w:p>
    <w:p w:rsidR="0045149D" w:rsidRPr="0045149D" w:rsidRDefault="0045149D" w:rsidP="0045149D">
      <w:pPr>
        <w:pStyle w:val="Nessunaspaziatura"/>
        <w:ind w:left="0"/>
        <w:rPr>
          <w:sz w:val="22"/>
          <w:szCs w:val="22"/>
        </w:rPr>
      </w:pPr>
      <w:r w:rsidRPr="0045149D">
        <w:rPr>
          <w:sz w:val="22"/>
          <w:szCs w:val="22"/>
        </w:rPr>
        <w:t>      Non è più tollerabile che le banche, beneficate dalla Bce di 274 miliardi di euro di prestiti triennali al tasso dell’1%,con il tasso di riferimento Bce allo 0,25%, possano pretendere tassi che variano (secondo i dati Bankitalia nel periodo 1 aprile al 30 giugno 2014 in base alla legge antiusura 108/96) dall’11,48% per le aperture di credito (tassi soglia 18,3); 16,25% per gli scoperti senza affidamento (tassi soglia 24,25%); 11,82% sui crediti personali (tassi soglia 18,775%); 16,97% credito revolving (tassi soglia 24,970%); 5,17% sui mutui a tasso fisso (tassi soglia 10,4625%), mentre sulla cessione del quinto dello stipendio (i prestiti più garantiti e con sofferenze vicine allo zero), tassi del 12,08%  per classi di importo fino a 5.000 ("soglia usura" 19,1000 %), dell’11,50%  oltre 5.000 euro (tassi "soglia usura" 18,3750).</w:t>
      </w:r>
    </w:p>
    <w:p w:rsidR="0045149D" w:rsidRPr="0045149D" w:rsidRDefault="0045149D" w:rsidP="0045149D">
      <w:pPr>
        <w:pStyle w:val="Nessunaspaziatura"/>
        <w:ind w:left="0"/>
        <w:rPr>
          <w:sz w:val="22"/>
          <w:szCs w:val="22"/>
        </w:rPr>
      </w:pPr>
      <w:r w:rsidRPr="0045149D">
        <w:rPr>
          <w:sz w:val="22"/>
          <w:szCs w:val="22"/>
        </w:rPr>
        <w:t xml:space="preserve">  Per non parlare del salasso della </w:t>
      </w:r>
      <w:proofErr w:type="spellStart"/>
      <w:r w:rsidRPr="0045149D">
        <w:rPr>
          <w:sz w:val="22"/>
          <w:szCs w:val="22"/>
        </w:rPr>
        <w:t>Civ</w:t>
      </w:r>
      <w:proofErr w:type="spellEnd"/>
      <w:r w:rsidRPr="0045149D">
        <w:rPr>
          <w:sz w:val="22"/>
          <w:szCs w:val="22"/>
        </w:rPr>
        <w:t xml:space="preserve"> (Commissione Istruttoria Veloce) che grava per 50 euro sulle famiglie ed 85 sulle imprese. La classifica stila vede in testa MPS: per chi sfora i 500 euro prevede un pagamento di 50,25 euro (un giorno di "rosso") e 52,55 euro (10 giorni) e 50,51 (un giorno) e 55,08 (10 giorni) per chi sfora i 1.000 euro. Unicredit (50,23 e 52,32 fino a 500 euro, 50,46 e 54,63 oltre i 1.000 euro);  </w:t>
      </w:r>
      <w:proofErr w:type="spellStart"/>
      <w:r w:rsidRPr="0045149D">
        <w:rPr>
          <w:sz w:val="22"/>
          <w:szCs w:val="22"/>
        </w:rPr>
        <w:t>Bpm</w:t>
      </w:r>
      <w:proofErr w:type="spellEnd"/>
      <w:r w:rsidRPr="0045149D">
        <w:rPr>
          <w:sz w:val="22"/>
          <w:szCs w:val="22"/>
        </w:rPr>
        <w:t xml:space="preserve"> (40,25 e 42,54; 40,51 e 45,07 euro), Cassa di Risparmio di Parma e Piacenza (35,21 e 37,14; 35,43 e 39,27; </w:t>
      </w:r>
      <w:proofErr w:type="spellStart"/>
      <w:r w:rsidRPr="0045149D">
        <w:rPr>
          <w:sz w:val="22"/>
          <w:szCs w:val="22"/>
        </w:rPr>
        <w:t>Ubi</w:t>
      </w:r>
      <w:proofErr w:type="spellEnd"/>
      <w:r w:rsidRPr="0045149D">
        <w:rPr>
          <w:sz w:val="22"/>
          <w:szCs w:val="22"/>
        </w:rPr>
        <w:t xml:space="preserve"> (30,24 e 32,37; 30,47 e 34,73 euro) e </w:t>
      </w:r>
      <w:proofErr w:type="spellStart"/>
      <w:r w:rsidRPr="0045149D">
        <w:rPr>
          <w:sz w:val="22"/>
          <w:szCs w:val="22"/>
        </w:rPr>
        <w:t>Bnl</w:t>
      </w:r>
      <w:proofErr w:type="spellEnd"/>
      <w:r w:rsidRPr="0045149D">
        <w:rPr>
          <w:sz w:val="22"/>
          <w:szCs w:val="22"/>
        </w:rPr>
        <w:t xml:space="preserve"> (25,23 e 27,26; 25,45 e 29,52 euro). Per Intesa Sanpaolo, invece, la </w:t>
      </w:r>
      <w:proofErr w:type="spellStart"/>
      <w:r w:rsidRPr="0045149D">
        <w:rPr>
          <w:sz w:val="22"/>
          <w:szCs w:val="22"/>
        </w:rPr>
        <w:t>Civ</w:t>
      </w:r>
      <w:proofErr w:type="spellEnd"/>
      <w:r w:rsidRPr="0045149D">
        <w:rPr>
          <w:sz w:val="22"/>
          <w:szCs w:val="22"/>
        </w:rPr>
        <w:t xml:space="preserve"> equivarrà solamente agli interessi, scelta più conveniente per i correntisti sul breve periodo: 0,30 euro per gli sconfinamenti oltre i 500 euro per un giorno, 3,05 euro per gli sconfinamenti di 10 giorni, 0,61 euro per un giorno oltre i 1.000 euro e 6,08 euro per 1.000 euro di rosso dopo 10 giorni. </w:t>
      </w:r>
    </w:p>
    <w:p w:rsidR="0045149D" w:rsidRPr="0045149D" w:rsidRDefault="0045149D" w:rsidP="0045149D">
      <w:pPr>
        <w:pStyle w:val="Nessunaspaziatura"/>
        <w:ind w:left="0"/>
        <w:rPr>
          <w:sz w:val="22"/>
          <w:szCs w:val="22"/>
        </w:rPr>
      </w:pPr>
      <w:r w:rsidRPr="0045149D">
        <w:rPr>
          <w:sz w:val="22"/>
          <w:szCs w:val="22"/>
        </w:rPr>
        <w:t xml:space="preserve">    Infine il differenziale sui tassi per i mutui è di 144 punti base (4,75%  in Italia contro 3,31% media Ue), che porta i consumatori italiani a pagare un pizzo di 24.000 euro per ogni mutuo trentennale di 100.000 euro. </w:t>
      </w:r>
    </w:p>
    <w:p w:rsidR="0045149D" w:rsidRPr="0045149D" w:rsidRDefault="0045149D" w:rsidP="0045149D">
      <w:pPr>
        <w:spacing w:after="0" w:line="253" w:lineRule="atLeast"/>
        <w:jc w:val="center"/>
        <w:rPr>
          <w:rFonts w:ascii="Century Gothic" w:hAnsi="Century Gothic"/>
          <w:b/>
          <w:bCs/>
          <w:color w:val="002060"/>
          <w:lang w:eastAsia="it-IT"/>
        </w:rPr>
      </w:pPr>
    </w:p>
    <w:p w:rsidR="0045149D" w:rsidRPr="0045149D" w:rsidRDefault="0045149D" w:rsidP="0045149D">
      <w:pPr>
        <w:spacing w:after="0" w:line="253" w:lineRule="atLeast"/>
        <w:jc w:val="center"/>
        <w:rPr>
          <w:rFonts w:ascii="Century Gothic" w:hAnsi="Century Gothic"/>
          <w:color w:val="000000"/>
          <w:lang w:eastAsia="it-IT"/>
        </w:rPr>
      </w:pPr>
      <w:r w:rsidRPr="0045149D">
        <w:rPr>
          <w:rFonts w:ascii="Century Gothic" w:hAnsi="Century Gothic"/>
          <w:b/>
          <w:bCs/>
          <w:color w:val="002060"/>
          <w:lang w:eastAsia="it-IT"/>
        </w:rPr>
        <w:lastRenderedPageBreak/>
        <w:t>CREDITO AL CONSUMO E MUTUI. DIFFERENZIALE TASSI MEDI BANCARI A FAMIGLIE IN AREA EURO E IN ITALIA SU CREDITO AL CONSUMO E MUTUI </w:t>
      </w:r>
      <w:r w:rsidRPr="0045149D">
        <w:rPr>
          <w:rFonts w:ascii="Century Gothic" w:hAnsi="Century Gothic"/>
          <w:color w:val="002060"/>
          <w:lang w:eastAsia="it-IT"/>
        </w:rPr>
        <w:t xml:space="preserve"> Fonte Boll.no BCE  n° 14 del 10-3-2014 pag. 40.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2395"/>
        <w:gridCol w:w="1390"/>
        <w:gridCol w:w="1608"/>
        <w:gridCol w:w="2469"/>
      </w:tblGrid>
      <w:tr w:rsidR="0045149D" w:rsidRPr="0045149D" w:rsidTr="0045149D">
        <w:trPr>
          <w:trHeight w:val="270"/>
        </w:trPr>
        <w:tc>
          <w:tcPr>
            <w:tcW w:w="1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149D" w:rsidRPr="0045149D" w:rsidRDefault="0045149D">
            <w:pPr>
              <w:spacing w:after="0"/>
              <w:jc w:val="both"/>
              <w:rPr>
                <w:rFonts w:ascii="Century Gothic" w:hAnsi="Century Gothic"/>
              </w:rPr>
            </w:pPr>
            <w:r w:rsidRPr="0045149D">
              <w:rPr>
                <w:rFonts w:ascii="Century Gothic" w:hAnsi="Century Gothic"/>
                <w:color w:val="002060"/>
              </w:rPr>
              <w:t> </w:t>
            </w:r>
          </w:p>
        </w:tc>
        <w:tc>
          <w:tcPr>
            <w:tcW w:w="23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49D" w:rsidRPr="0045149D" w:rsidRDefault="0045149D">
            <w:pPr>
              <w:spacing w:after="0"/>
              <w:jc w:val="center"/>
              <w:rPr>
                <w:rFonts w:ascii="Century Gothic" w:hAnsi="Century Gothic"/>
              </w:rPr>
            </w:pPr>
            <w:r w:rsidRPr="0045149D">
              <w:rPr>
                <w:rFonts w:ascii="Century Gothic" w:hAnsi="Century Gothic"/>
                <w:color w:val="002060"/>
              </w:rPr>
              <w:t> </w:t>
            </w:r>
          </w:p>
        </w:tc>
        <w:tc>
          <w:tcPr>
            <w:tcW w:w="13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49D" w:rsidRPr="0045149D" w:rsidRDefault="0045149D">
            <w:pPr>
              <w:spacing w:after="0"/>
              <w:jc w:val="center"/>
              <w:rPr>
                <w:rFonts w:ascii="Century Gothic" w:hAnsi="Century Gothic"/>
              </w:rPr>
            </w:pPr>
            <w:r w:rsidRPr="0045149D">
              <w:rPr>
                <w:rFonts w:ascii="Century Gothic" w:hAnsi="Century Gothic"/>
                <w:b/>
                <w:bCs/>
                <w:color w:val="002060"/>
              </w:rPr>
              <w:t>Tassi in Italia</w:t>
            </w:r>
          </w:p>
        </w:tc>
        <w:tc>
          <w:tcPr>
            <w:tcW w:w="1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49D" w:rsidRPr="0045149D" w:rsidRDefault="0045149D">
            <w:pPr>
              <w:spacing w:after="0"/>
              <w:jc w:val="center"/>
              <w:rPr>
                <w:rFonts w:ascii="Century Gothic" w:hAnsi="Century Gothic"/>
              </w:rPr>
            </w:pPr>
            <w:r w:rsidRPr="0045149D">
              <w:rPr>
                <w:rFonts w:ascii="Century Gothic" w:hAnsi="Century Gothic"/>
                <w:b/>
                <w:bCs/>
                <w:color w:val="002060"/>
              </w:rPr>
              <w:t>Tassi Area euro</w:t>
            </w:r>
          </w:p>
        </w:tc>
        <w:tc>
          <w:tcPr>
            <w:tcW w:w="24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149D" w:rsidRPr="0045149D" w:rsidRDefault="0045149D">
            <w:pPr>
              <w:spacing w:after="0"/>
              <w:jc w:val="center"/>
              <w:rPr>
                <w:rFonts w:ascii="Century Gothic" w:hAnsi="Century Gothic"/>
              </w:rPr>
            </w:pPr>
            <w:r w:rsidRPr="0045149D">
              <w:rPr>
                <w:rFonts w:ascii="Century Gothic" w:hAnsi="Century Gothic"/>
                <w:b/>
                <w:bCs/>
                <w:color w:val="002060"/>
              </w:rPr>
              <w:t>Differenziale</w:t>
            </w:r>
          </w:p>
          <w:p w:rsidR="0045149D" w:rsidRPr="0045149D" w:rsidRDefault="0045149D">
            <w:pPr>
              <w:spacing w:after="0"/>
              <w:jc w:val="center"/>
              <w:rPr>
                <w:rFonts w:ascii="Century Gothic" w:hAnsi="Century Gothic"/>
              </w:rPr>
            </w:pPr>
            <w:r w:rsidRPr="0045149D">
              <w:rPr>
                <w:rFonts w:ascii="Century Gothic" w:hAnsi="Century Gothic"/>
                <w:b/>
                <w:bCs/>
                <w:color w:val="002060"/>
              </w:rPr>
              <w:t xml:space="preserve">Italia-Eurolandia </w:t>
            </w:r>
          </w:p>
        </w:tc>
      </w:tr>
      <w:tr w:rsidR="0045149D" w:rsidRPr="0045149D" w:rsidTr="0045149D">
        <w:trPr>
          <w:trHeight w:val="270"/>
        </w:trPr>
        <w:tc>
          <w:tcPr>
            <w:tcW w:w="199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2D69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149D" w:rsidRPr="0045149D" w:rsidRDefault="0045149D">
            <w:pPr>
              <w:spacing w:after="0" w:line="240" w:lineRule="auto"/>
              <w:jc w:val="both"/>
              <w:rPr>
                <w:rFonts w:ascii="Century Gothic" w:hAnsi="Century Gothic"/>
                <w:lang w:eastAsia="it-IT"/>
              </w:rPr>
            </w:pPr>
            <w:r w:rsidRPr="0045149D">
              <w:rPr>
                <w:rFonts w:ascii="Century Gothic" w:hAnsi="Century Gothic"/>
                <w:b/>
                <w:bCs/>
                <w:color w:val="002060"/>
                <w:lang w:eastAsia="it-IT"/>
              </w:rPr>
              <w:t>Gennaio 2014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149D" w:rsidRPr="0045149D" w:rsidRDefault="0045149D">
            <w:pPr>
              <w:spacing w:after="0" w:line="240" w:lineRule="auto"/>
              <w:jc w:val="right"/>
              <w:rPr>
                <w:rFonts w:ascii="Century Gothic" w:hAnsi="Century Gothic"/>
                <w:lang w:eastAsia="it-IT"/>
              </w:rPr>
            </w:pPr>
            <w:r w:rsidRPr="0045149D">
              <w:rPr>
                <w:rFonts w:ascii="Century Gothic" w:hAnsi="Century Gothic"/>
                <w:color w:val="002060"/>
                <w:lang w:eastAsia="it-IT"/>
              </w:rPr>
              <w:t>Credito al consumo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149D" w:rsidRPr="0045149D" w:rsidRDefault="0045149D">
            <w:pPr>
              <w:spacing w:after="0" w:line="240" w:lineRule="auto"/>
              <w:jc w:val="right"/>
              <w:rPr>
                <w:rFonts w:ascii="Century Gothic" w:hAnsi="Century Gothic"/>
                <w:lang w:eastAsia="it-IT"/>
              </w:rPr>
            </w:pPr>
            <w:r w:rsidRPr="0045149D">
              <w:rPr>
                <w:rFonts w:ascii="Century Gothic" w:hAnsi="Century Gothic"/>
                <w:color w:val="002060"/>
                <w:lang w:eastAsia="it-IT"/>
              </w:rPr>
              <w:t>7,30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149D" w:rsidRPr="0045149D" w:rsidRDefault="0045149D">
            <w:pPr>
              <w:spacing w:after="0" w:line="240" w:lineRule="auto"/>
              <w:jc w:val="right"/>
              <w:rPr>
                <w:rFonts w:ascii="Century Gothic" w:hAnsi="Century Gothic"/>
                <w:lang w:eastAsia="it-IT"/>
              </w:rPr>
            </w:pPr>
            <w:r w:rsidRPr="0045149D">
              <w:rPr>
                <w:rFonts w:ascii="Century Gothic" w:hAnsi="Century Gothic"/>
                <w:color w:val="002060"/>
                <w:lang w:eastAsia="it-IT"/>
              </w:rPr>
              <w:t>6,07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149D" w:rsidRPr="0045149D" w:rsidRDefault="0045149D">
            <w:pPr>
              <w:spacing w:after="0" w:line="240" w:lineRule="auto"/>
              <w:jc w:val="right"/>
              <w:rPr>
                <w:rFonts w:ascii="Century Gothic" w:hAnsi="Century Gothic"/>
                <w:lang w:eastAsia="it-IT"/>
              </w:rPr>
            </w:pPr>
            <w:r w:rsidRPr="0045149D">
              <w:rPr>
                <w:rFonts w:ascii="Century Gothic" w:hAnsi="Century Gothic"/>
                <w:b/>
                <w:bCs/>
                <w:color w:val="002060"/>
                <w:lang w:eastAsia="it-IT"/>
              </w:rPr>
              <w:t>+ 123</w:t>
            </w:r>
          </w:p>
        </w:tc>
      </w:tr>
      <w:tr w:rsidR="0045149D" w:rsidRPr="0045149D" w:rsidTr="0045149D">
        <w:trPr>
          <w:trHeight w:val="27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5149D" w:rsidRPr="0045149D" w:rsidRDefault="0045149D">
            <w:pPr>
              <w:spacing w:after="0" w:line="240" w:lineRule="auto"/>
              <w:rPr>
                <w:rFonts w:ascii="Century Gothic" w:hAnsi="Century Gothic"/>
                <w:lang w:eastAsia="it-IT"/>
              </w:rPr>
            </w:pPr>
          </w:p>
        </w:tc>
        <w:tc>
          <w:tcPr>
            <w:tcW w:w="2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149D" w:rsidRPr="0045149D" w:rsidRDefault="0045149D">
            <w:pPr>
              <w:spacing w:after="0" w:line="240" w:lineRule="auto"/>
              <w:jc w:val="right"/>
              <w:rPr>
                <w:rFonts w:ascii="Century Gothic" w:hAnsi="Century Gothic"/>
                <w:lang w:eastAsia="it-IT"/>
              </w:rPr>
            </w:pPr>
            <w:r w:rsidRPr="0045149D">
              <w:rPr>
                <w:rFonts w:ascii="Century Gothic" w:hAnsi="Century Gothic"/>
                <w:color w:val="002060"/>
                <w:lang w:eastAsia="it-IT"/>
              </w:rPr>
              <w:t>Mutui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149D" w:rsidRPr="0045149D" w:rsidRDefault="0045149D">
            <w:pPr>
              <w:spacing w:after="0" w:line="240" w:lineRule="auto"/>
              <w:jc w:val="right"/>
              <w:rPr>
                <w:rFonts w:ascii="Century Gothic" w:hAnsi="Century Gothic"/>
                <w:lang w:eastAsia="it-IT"/>
              </w:rPr>
            </w:pPr>
            <w:r w:rsidRPr="0045149D">
              <w:rPr>
                <w:rFonts w:ascii="Century Gothic" w:hAnsi="Century Gothic"/>
                <w:color w:val="002060"/>
                <w:lang w:eastAsia="it-IT"/>
              </w:rPr>
              <w:t>4,75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149D" w:rsidRPr="0045149D" w:rsidRDefault="0045149D">
            <w:pPr>
              <w:spacing w:after="0" w:line="240" w:lineRule="auto"/>
              <w:jc w:val="right"/>
              <w:rPr>
                <w:rFonts w:ascii="Century Gothic" w:hAnsi="Century Gothic"/>
                <w:lang w:eastAsia="it-IT"/>
              </w:rPr>
            </w:pPr>
            <w:r w:rsidRPr="0045149D">
              <w:rPr>
                <w:rFonts w:ascii="Century Gothic" w:hAnsi="Century Gothic"/>
                <w:color w:val="002060"/>
                <w:lang w:eastAsia="it-IT"/>
              </w:rPr>
              <w:t>3,31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149D" w:rsidRPr="0045149D" w:rsidRDefault="0045149D">
            <w:pPr>
              <w:spacing w:after="0" w:line="240" w:lineRule="auto"/>
              <w:jc w:val="right"/>
              <w:rPr>
                <w:rFonts w:ascii="Century Gothic" w:hAnsi="Century Gothic"/>
                <w:lang w:eastAsia="it-IT"/>
              </w:rPr>
            </w:pPr>
            <w:r w:rsidRPr="0045149D">
              <w:rPr>
                <w:rFonts w:ascii="Century Gothic" w:hAnsi="Century Gothic"/>
                <w:b/>
                <w:bCs/>
                <w:color w:val="002060"/>
                <w:lang w:eastAsia="it-IT"/>
              </w:rPr>
              <w:t>+ 144</w:t>
            </w:r>
          </w:p>
        </w:tc>
      </w:tr>
    </w:tbl>
    <w:p w:rsidR="0045149D" w:rsidRPr="0045149D" w:rsidRDefault="0045149D" w:rsidP="0045149D">
      <w:pPr>
        <w:pStyle w:val="Nessunaspaziatura"/>
        <w:ind w:left="0"/>
        <w:rPr>
          <w:color w:val="auto"/>
          <w:sz w:val="22"/>
          <w:szCs w:val="22"/>
          <w:lang w:eastAsia="en-US"/>
        </w:rPr>
      </w:pPr>
    </w:p>
    <w:p w:rsidR="0045149D" w:rsidRPr="0045149D" w:rsidRDefault="0045149D" w:rsidP="0045149D">
      <w:pPr>
        <w:pStyle w:val="Nessunaspaziatura"/>
        <w:ind w:left="0"/>
        <w:rPr>
          <w:sz w:val="22"/>
          <w:szCs w:val="22"/>
        </w:rPr>
      </w:pPr>
      <w:r w:rsidRPr="0045149D">
        <w:rPr>
          <w:sz w:val="22"/>
          <w:szCs w:val="22"/>
        </w:rPr>
        <w:t>Adusbef e Federconsumatori auspicano che il presidente del Consiglio Matteo Renzi, possa bloccare l’avidità della ‘piovra bancaria’, che tramite  il concorso diretto di Bankitalia,  avviluppa e stritola con i suoi tentacoli, famiglie, imprese e giovani (24.000 euro in più per un mutuo prima casa), usurandole e saccheggiandole, soffocando in tal modo la ripresa dello sviluppo economico e l’uscita dalla crisi e dalla forte recessione.</w:t>
      </w:r>
    </w:p>
    <w:p w:rsidR="0045149D" w:rsidRPr="0045149D" w:rsidRDefault="0045149D" w:rsidP="0045149D">
      <w:pPr>
        <w:pStyle w:val="Nessunaspaziatura"/>
        <w:ind w:left="0"/>
        <w:rPr>
          <w:sz w:val="22"/>
          <w:szCs w:val="22"/>
        </w:rPr>
      </w:pPr>
      <w:r w:rsidRPr="0045149D">
        <w:rPr>
          <w:sz w:val="22"/>
          <w:szCs w:val="22"/>
        </w:rPr>
        <w:t xml:space="preserve">                                                                               Elio Lannutti (Adusbef) – Rosario </w:t>
      </w:r>
      <w:proofErr w:type="spellStart"/>
      <w:r w:rsidRPr="0045149D">
        <w:rPr>
          <w:sz w:val="22"/>
          <w:szCs w:val="22"/>
        </w:rPr>
        <w:t>Trefiletti</w:t>
      </w:r>
      <w:proofErr w:type="spellEnd"/>
      <w:r w:rsidRPr="0045149D">
        <w:rPr>
          <w:sz w:val="22"/>
          <w:szCs w:val="22"/>
        </w:rPr>
        <w:t xml:space="preserve"> (Federconsumatori)</w:t>
      </w:r>
    </w:p>
    <w:p w:rsidR="0045149D" w:rsidRPr="0045149D" w:rsidRDefault="0045149D" w:rsidP="0045149D">
      <w:pPr>
        <w:pStyle w:val="Nessunaspaziatura"/>
        <w:ind w:left="0"/>
        <w:rPr>
          <w:sz w:val="22"/>
          <w:szCs w:val="22"/>
        </w:rPr>
      </w:pPr>
      <w:r w:rsidRPr="0045149D">
        <w:rPr>
          <w:sz w:val="22"/>
          <w:szCs w:val="22"/>
        </w:rPr>
        <w:t>Roma, 9.4.2014</w:t>
      </w:r>
    </w:p>
    <w:p w:rsidR="00C200C3" w:rsidRPr="0045149D" w:rsidRDefault="00C200C3">
      <w:pPr>
        <w:rPr>
          <w:rFonts w:ascii="Century Gothic" w:hAnsi="Century Gothic"/>
        </w:rPr>
      </w:pPr>
    </w:p>
    <w:sectPr w:rsidR="00C200C3" w:rsidRPr="004514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51984"/>
    <w:multiLevelType w:val="hybridMultilevel"/>
    <w:tmpl w:val="10E0E804"/>
    <w:lvl w:ilvl="0" w:tplc="0F324F8A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283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49D"/>
    <w:rsid w:val="00073741"/>
    <w:rsid w:val="00130235"/>
    <w:rsid w:val="001A3C40"/>
    <w:rsid w:val="001D07B7"/>
    <w:rsid w:val="001D0D71"/>
    <w:rsid w:val="002E4C34"/>
    <w:rsid w:val="00370059"/>
    <w:rsid w:val="00424BEE"/>
    <w:rsid w:val="0045149D"/>
    <w:rsid w:val="004B0A7D"/>
    <w:rsid w:val="004B75D8"/>
    <w:rsid w:val="004F322C"/>
    <w:rsid w:val="005057D6"/>
    <w:rsid w:val="00535F48"/>
    <w:rsid w:val="005F3BF0"/>
    <w:rsid w:val="00632BCB"/>
    <w:rsid w:val="007339EC"/>
    <w:rsid w:val="00754201"/>
    <w:rsid w:val="00873879"/>
    <w:rsid w:val="0094402A"/>
    <w:rsid w:val="0098615F"/>
    <w:rsid w:val="009B4EA1"/>
    <w:rsid w:val="00A42182"/>
    <w:rsid w:val="00B03057"/>
    <w:rsid w:val="00B35AE5"/>
    <w:rsid w:val="00B90F78"/>
    <w:rsid w:val="00C200C3"/>
    <w:rsid w:val="00C55771"/>
    <w:rsid w:val="00C76E16"/>
    <w:rsid w:val="00C848D3"/>
    <w:rsid w:val="00D05D56"/>
    <w:rsid w:val="00D07FAE"/>
    <w:rsid w:val="00D136AC"/>
    <w:rsid w:val="00D709E1"/>
    <w:rsid w:val="00DB5BBF"/>
    <w:rsid w:val="00E612FB"/>
    <w:rsid w:val="00EE7D98"/>
    <w:rsid w:val="00F43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5149D"/>
    <w:pPr>
      <w:spacing w:before="0" w:after="200" w:line="276" w:lineRule="auto"/>
      <w:jc w:val="left"/>
    </w:pPr>
    <w:rPr>
      <w:rFonts w:ascii="Calibri" w:hAnsi="Calibri"/>
      <w:bCs w:val="0"/>
      <w:iCs w:val="0"/>
      <w:kern w:val="0"/>
    </w:rPr>
  </w:style>
  <w:style w:type="paragraph" w:styleId="Titolo1">
    <w:name w:val="heading 1"/>
    <w:basedOn w:val="Normale"/>
    <w:link w:val="Titolo1Carattere"/>
    <w:uiPriority w:val="9"/>
    <w:qFormat/>
    <w:rsid w:val="00535F48"/>
    <w:pPr>
      <w:keepNext/>
      <w:spacing w:before="240" w:after="60" w:line="240" w:lineRule="auto"/>
      <w:ind w:left="480" w:right="34"/>
      <w:jc w:val="center"/>
      <w:outlineLvl w:val="0"/>
    </w:pPr>
    <w:rPr>
      <w:rFonts w:ascii="Century Gothic" w:hAnsi="Century Gothic" w:cs="Century Gothic"/>
      <w:b/>
      <w:bCs/>
      <w:color w:val="17365D" w:themeColor="text2" w:themeShade="BF"/>
      <w:sz w:val="32"/>
      <w:szCs w:val="32"/>
      <w:lang w:eastAsia="it-IT"/>
    </w:rPr>
  </w:style>
  <w:style w:type="paragraph" w:styleId="Titolo2">
    <w:name w:val="heading 2"/>
    <w:basedOn w:val="Normale"/>
    <w:link w:val="Titolo2Carattere"/>
    <w:qFormat/>
    <w:rsid w:val="00535F48"/>
    <w:pPr>
      <w:keepNext/>
      <w:spacing w:before="240" w:after="60" w:line="240" w:lineRule="auto"/>
      <w:jc w:val="center"/>
      <w:outlineLvl w:val="1"/>
    </w:pPr>
    <w:rPr>
      <w:rFonts w:ascii="Century Gothic" w:eastAsiaTheme="minorEastAsia" w:hAnsi="Century Gothic" w:cs="Century Gothic"/>
      <w:b/>
      <w:bCs/>
      <w:iCs/>
      <w:color w:val="17365D" w:themeColor="text2" w:themeShade="BF"/>
      <w:kern w:val="36"/>
      <w:sz w:val="28"/>
      <w:szCs w:val="16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535F48"/>
    <w:pPr>
      <w:keepNext/>
      <w:spacing w:before="240" w:after="60" w:line="240" w:lineRule="auto"/>
      <w:jc w:val="center"/>
      <w:outlineLvl w:val="2"/>
    </w:pPr>
    <w:rPr>
      <w:rFonts w:ascii="Century Gothic" w:hAnsi="Century Gothic" w:cs="Century Gothic"/>
      <w:b/>
      <w:bCs/>
      <w:color w:val="17365D" w:themeColor="text2" w:themeShade="BF"/>
      <w:sz w:val="24"/>
      <w:szCs w:val="24"/>
      <w:lang w:eastAsia="it-IT"/>
    </w:rPr>
  </w:style>
  <w:style w:type="paragraph" w:styleId="Titolo4">
    <w:name w:val="heading 4"/>
    <w:basedOn w:val="Normale"/>
    <w:link w:val="Titolo4Carattere"/>
    <w:uiPriority w:val="9"/>
    <w:qFormat/>
    <w:rsid w:val="00535F48"/>
    <w:pPr>
      <w:keepNext/>
      <w:spacing w:before="240" w:after="60" w:line="240" w:lineRule="auto"/>
      <w:outlineLvl w:val="3"/>
    </w:pPr>
    <w:rPr>
      <w:rFonts w:ascii="Century Gothic" w:hAnsi="Century Gothic"/>
      <w:b/>
      <w:bCs/>
      <w:color w:val="17365D" w:themeColor="text2" w:themeShade="BF"/>
      <w:sz w:val="24"/>
      <w:szCs w:val="28"/>
      <w:lang w:eastAsia="it-IT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 w:line="240" w:lineRule="auto"/>
      <w:jc w:val="both"/>
      <w:outlineLvl w:val="5"/>
    </w:pPr>
    <w:rPr>
      <w:rFonts w:ascii="Times New Roman" w:hAnsi="Times New Roman"/>
      <w:b/>
      <w:bCs/>
      <w:color w:val="17365D" w:themeColor="text2" w:themeShade="BF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iPriority w:val="99"/>
    <w:unhideWhenUsed/>
    <w:rsid w:val="00424BEE"/>
    <w:pPr>
      <w:spacing w:before="100" w:beforeAutospacing="1" w:after="100" w:afterAutospacing="1" w:line="240" w:lineRule="auto"/>
      <w:jc w:val="both"/>
    </w:pPr>
    <w:rPr>
      <w:rFonts w:ascii="Century Gothic" w:eastAsia="Times New Roman" w:hAnsi="Century Gothic" w:cs="Century Gothic"/>
      <w:bCs/>
      <w:iCs/>
      <w:color w:val="17365D" w:themeColor="text2" w:themeShade="BF"/>
      <w:kern w:val="36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35F48"/>
    <w:rPr>
      <w:rFonts w:cs="Century Gothic"/>
      <w:b/>
      <w:iCs w:val="0"/>
      <w:color w:val="17365D" w:themeColor="text2" w:themeShade="BF"/>
      <w:kern w:val="0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D0D71"/>
    <w:pPr>
      <w:spacing w:before="240" w:after="60" w:line="240" w:lineRule="auto"/>
      <w:jc w:val="center"/>
    </w:pPr>
    <w:rPr>
      <w:rFonts w:ascii="Century Gothic" w:hAnsi="Century Gothic" w:cs="Arial"/>
      <w:b/>
      <w:bCs/>
      <w:color w:val="17365D" w:themeColor="text2" w:themeShade="BF"/>
      <w:sz w:val="34"/>
      <w:szCs w:val="32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1D0D71"/>
    <w:rPr>
      <w:rFonts w:cs="Arial"/>
      <w:b/>
      <w:iCs w:val="0"/>
      <w:color w:val="17365D" w:themeColor="text2" w:themeShade="BF"/>
      <w:kern w:val="0"/>
      <w:sz w:val="34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spacing w:before="120" w:after="120" w:line="240" w:lineRule="auto"/>
      <w:ind w:left="600" w:firstLine="567"/>
      <w:jc w:val="both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/>
      <w:ind w:left="170" w:right="-39"/>
    </w:pPr>
    <w:rPr>
      <w:rFonts w:cs="Century Gothic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535F48"/>
    <w:rPr>
      <w:rFonts w:eastAsiaTheme="minorEastAsia" w:cs="Century Gothic"/>
      <w:b/>
      <w:color w:val="17365D" w:themeColor="text2" w:themeShade="BF"/>
      <w:sz w:val="28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35F48"/>
    <w:rPr>
      <w:rFonts w:cs="Century Gothic"/>
      <w:b/>
      <w:iCs w:val="0"/>
      <w:color w:val="17365D" w:themeColor="text2" w:themeShade="BF"/>
      <w:kern w:val="0"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535F48"/>
    <w:rPr>
      <w:b/>
      <w:iCs w:val="0"/>
      <w:color w:val="17365D" w:themeColor="text2" w:themeShade="BF"/>
      <w:kern w:val="0"/>
      <w:sz w:val="24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spacing w:before="120" w:after="120" w:line="240" w:lineRule="auto"/>
      <w:ind w:right="-2"/>
      <w:jc w:val="both"/>
    </w:pPr>
    <w:rPr>
      <w:rFonts w:ascii="Century Gothic" w:hAnsi="Century Gothic"/>
      <w:color w:val="17365D" w:themeColor="text2" w:themeShade="BF"/>
      <w:sz w:val="24"/>
      <w:szCs w:val="24"/>
      <w:lang w:eastAsia="it-IT"/>
    </w:r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spacing w:before="120" w:after="120" w:line="240" w:lineRule="auto"/>
      <w:ind w:left="440"/>
      <w:jc w:val="both"/>
    </w:pPr>
    <w:rPr>
      <w:rFonts w:ascii="Times New Roman" w:hAnsi="Times New Roman"/>
      <w:color w:val="17365D" w:themeColor="text2" w:themeShade="BF"/>
      <w:sz w:val="24"/>
      <w:szCs w:val="24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pPr>
      <w:spacing w:before="120" w:after="120" w:line="240" w:lineRule="auto"/>
      <w:jc w:val="both"/>
    </w:pPr>
    <w:rPr>
      <w:rFonts w:ascii="Times New Roman" w:hAnsi="Times New Roman"/>
      <w:color w:val="17365D" w:themeColor="text2" w:themeShade="BF"/>
      <w:sz w:val="24"/>
      <w:szCs w:val="24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pPr>
      <w:spacing w:before="120" w:after="120" w:line="240" w:lineRule="auto"/>
      <w:jc w:val="both"/>
    </w:pPr>
    <w:rPr>
      <w:rFonts w:ascii="Times New Roman" w:hAnsi="Times New Roman"/>
      <w:color w:val="17365D" w:themeColor="text2" w:themeShade="BF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pPr>
      <w:spacing w:before="120" w:after="120" w:line="240" w:lineRule="auto"/>
      <w:jc w:val="both"/>
    </w:pPr>
    <w:rPr>
      <w:rFonts w:ascii="Times New Roman" w:hAnsi="Times New Roman"/>
      <w:color w:val="17365D" w:themeColor="text2" w:themeShade="BF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  <w:pPr>
      <w:spacing w:before="120" w:after="120" w:line="240" w:lineRule="auto"/>
      <w:jc w:val="both"/>
    </w:pPr>
    <w:rPr>
      <w:rFonts w:ascii="Century Gothic" w:hAnsi="Century Gothic"/>
      <w:color w:val="17365D" w:themeColor="text2" w:themeShade="BF"/>
      <w:sz w:val="24"/>
      <w:szCs w:val="24"/>
      <w:lang w:eastAsia="it-IT"/>
    </w:rPr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spacing w:before="120" w:after="120" w:line="240" w:lineRule="auto"/>
      <w:ind w:left="480"/>
      <w:jc w:val="both"/>
    </w:pPr>
    <w:rPr>
      <w:rFonts w:ascii="Century Gothic" w:hAnsi="Century Gothic"/>
      <w:color w:val="FF0000"/>
      <w:sz w:val="18"/>
      <w:szCs w:val="18"/>
      <w:lang w:eastAsia="it-I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pPr>
      <w:spacing w:before="120" w:after="120" w:line="240" w:lineRule="auto"/>
      <w:jc w:val="both"/>
    </w:pPr>
    <w:rPr>
      <w:color w:val="17365D" w:themeColor="text2" w:themeShade="BF"/>
      <w:sz w:val="24"/>
      <w:szCs w:val="21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pPr>
      <w:spacing w:before="120" w:after="120" w:line="240" w:lineRule="auto"/>
      <w:jc w:val="both"/>
    </w:pPr>
    <w:rPr>
      <w:rFonts w:ascii="Tahoma" w:hAnsi="Tahoma" w:cs="Tahoma"/>
      <w:color w:val="17365D" w:themeColor="text2" w:themeShade="BF"/>
      <w:sz w:val="24"/>
      <w:szCs w:val="24"/>
      <w:lang w:eastAsia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basedOn w:val="Normale"/>
    <w:uiPriority w:val="1"/>
    <w:qFormat/>
    <w:rsid w:val="00130235"/>
    <w:pPr>
      <w:spacing w:before="120" w:after="120" w:line="240" w:lineRule="auto"/>
      <w:ind w:left="2160"/>
      <w:jc w:val="both"/>
    </w:pPr>
    <w:rPr>
      <w:rFonts w:ascii="Century Gothic" w:hAnsi="Century Gothic"/>
      <w:color w:val="0F243E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130235"/>
    <w:pPr>
      <w:spacing w:before="120" w:after="120" w:line="240" w:lineRule="auto"/>
      <w:ind w:left="720"/>
      <w:jc w:val="both"/>
    </w:pPr>
    <w:rPr>
      <w:rFonts w:ascii="Century Gothic" w:hAnsi="Century Gothic"/>
      <w:color w:val="17365D" w:themeColor="text2" w:themeShade="BF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5149D"/>
    <w:pPr>
      <w:spacing w:before="0" w:after="200" w:line="276" w:lineRule="auto"/>
      <w:jc w:val="left"/>
    </w:pPr>
    <w:rPr>
      <w:rFonts w:ascii="Calibri" w:hAnsi="Calibri"/>
      <w:bCs w:val="0"/>
      <w:iCs w:val="0"/>
      <w:kern w:val="0"/>
    </w:rPr>
  </w:style>
  <w:style w:type="paragraph" w:styleId="Titolo1">
    <w:name w:val="heading 1"/>
    <w:basedOn w:val="Normale"/>
    <w:link w:val="Titolo1Carattere"/>
    <w:uiPriority w:val="9"/>
    <w:qFormat/>
    <w:rsid w:val="00535F48"/>
    <w:pPr>
      <w:keepNext/>
      <w:spacing w:before="240" w:after="60" w:line="240" w:lineRule="auto"/>
      <w:ind w:left="480" w:right="34"/>
      <w:jc w:val="center"/>
      <w:outlineLvl w:val="0"/>
    </w:pPr>
    <w:rPr>
      <w:rFonts w:ascii="Century Gothic" w:hAnsi="Century Gothic" w:cs="Century Gothic"/>
      <w:b/>
      <w:bCs/>
      <w:color w:val="17365D" w:themeColor="text2" w:themeShade="BF"/>
      <w:sz w:val="32"/>
      <w:szCs w:val="32"/>
      <w:lang w:eastAsia="it-IT"/>
    </w:rPr>
  </w:style>
  <w:style w:type="paragraph" w:styleId="Titolo2">
    <w:name w:val="heading 2"/>
    <w:basedOn w:val="Normale"/>
    <w:link w:val="Titolo2Carattere"/>
    <w:qFormat/>
    <w:rsid w:val="00535F48"/>
    <w:pPr>
      <w:keepNext/>
      <w:spacing w:before="240" w:after="60" w:line="240" w:lineRule="auto"/>
      <w:jc w:val="center"/>
      <w:outlineLvl w:val="1"/>
    </w:pPr>
    <w:rPr>
      <w:rFonts w:ascii="Century Gothic" w:eastAsiaTheme="minorEastAsia" w:hAnsi="Century Gothic" w:cs="Century Gothic"/>
      <w:b/>
      <w:bCs/>
      <w:iCs/>
      <w:color w:val="17365D" w:themeColor="text2" w:themeShade="BF"/>
      <w:kern w:val="36"/>
      <w:sz w:val="28"/>
      <w:szCs w:val="16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535F48"/>
    <w:pPr>
      <w:keepNext/>
      <w:spacing w:before="240" w:after="60" w:line="240" w:lineRule="auto"/>
      <w:jc w:val="center"/>
      <w:outlineLvl w:val="2"/>
    </w:pPr>
    <w:rPr>
      <w:rFonts w:ascii="Century Gothic" w:hAnsi="Century Gothic" w:cs="Century Gothic"/>
      <w:b/>
      <w:bCs/>
      <w:color w:val="17365D" w:themeColor="text2" w:themeShade="BF"/>
      <w:sz w:val="24"/>
      <w:szCs w:val="24"/>
      <w:lang w:eastAsia="it-IT"/>
    </w:rPr>
  </w:style>
  <w:style w:type="paragraph" w:styleId="Titolo4">
    <w:name w:val="heading 4"/>
    <w:basedOn w:val="Normale"/>
    <w:link w:val="Titolo4Carattere"/>
    <w:uiPriority w:val="9"/>
    <w:qFormat/>
    <w:rsid w:val="00535F48"/>
    <w:pPr>
      <w:keepNext/>
      <w:spacing w:before="240" w:after="60" w:line="240" w:lineRule="auto"/>
      <w:outlineLvl w:val="3"/>
    </w:pPr>
    <w:rPr>
      <w:rFonts w:ascii="Century Gothic" w:hAnsi="Century Gothic"/>
      <w:b/>
      <w:bCs/>
      <w:color w:val="17365D" w:themeColor="text2" w:themeShade="BF"/>
      <w:sz w:val="24"/>
      <w:szCs w:val="28"/>
      <w:lang w:eastAsia="it-IT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 w:line="240" w:lineRule="auto"/>
      <w:jc w:val="both"/>
      <w:outlineLvl w:val="5"/>
    </w:pPr>
    <w:rPr>
      <w:rFonts w:ascii="Times New Roman" w:hAnsi="Times New Roman"/>
      <w:b/>
      <w:bCs/>
      <w:color w:val="17365D" w:themeColor="text2" w:themeShade="BF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iPriority w:val="99"/>
    <w:unhideWhenUsed/>
    <w:rsid w:val="00424BEE"/>
    <w:pPr>
      <w:spacing w:before="100" w:beforeAutospacing="1" w:after="100" w:afterAutospacing="1" w:line="240" w:lineRule="auto"/>
      <w:jc w:val="both"/>
    </w:pPr>
    <w:rPr>
      <w:rFonts w:ascii="Century Gothic" w:eastAsia="Times New Roman" w:hAnsi="Century Gothic" w:cs="Century Gothic"/>
      <w:bCs/>
      <w:iCs/>
      <w:color w:val="17365D" w:themeColor="text2" w:themeShade="BF"/>
      <w:kern w:val="36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35F48"/>
    <w:rPr>
      <w:rFonts w:cs="Century Gothic"/>
      <w:b/>
      <w:iCs w:val="0"/>
      <w:color w:val="17365D" w:themeColor="text2" w:themeShade="BF"/>
      <w:kern w:val="0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D0D71"/>
    <w:pPr>
      <w:spacing w:before="240" w:after="60" w:line="240" w:lineRule="auto"/>
      <w:jc w:val="center"/>
    </w:pPr>
    <w:rPr>
      <w:rFonts w:ascii="Century Gothic" w:hAnsi="Century Gothic" w:cs="Arial"/>
      <w:b/>
      <w:bCs/>
      <w:color w:val="17365D" w:themeColor="text2" w:themeShade="BF"/>
      <w:sz w:val="34"/>
      <w:szCs w:val="32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1D0D71"/>
    <w:rPr>
      <w:rFonts w:cs="Arial"/>
      <w:b/>
      <w:iCs w:val="0"/>
      <w:color w:val="17365D" w:themeColor="text2" w:themeShade="BF"/>
      <w:kern w:val="0"/>
      <w:sz w:val="34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spacing w:before="120" w:after="120" w:line="240" w:lineRule="auto"/>
      <w:ind w:left="600" w:firstLine="567"/>
      <w:jc w:val="both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/>
      <w:ind w:left="170" w:right="-39"/>
    </w:pPr>
    <w:rPr>
      <w:rFonts w:cs="Century Gothic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535F48"/>
    <w:rPr>
      <w:rFonts w:eastAsiaTheme="minorEastAsia" w:cs="Century Gothic"/>
      <w:b/>
      <w:color w:val="17365D" w:themeColor="text2" w:themeShade="BF"/>
      <w:sz w:val="28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35F48"/>
    <w:rPr>
      <w:rFonts w:cs="Century Gothic"/>
      <w:b/>
      <w:iCs w:val="0"/>
      <w:color w:val="17365D" w:themeColor="text2" w:themeShade="BF"/>
      <w:kern w:val="0"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535F48"/>
    <w:rPr>
      <w:b/>
      <w:iCs w:val="0"/>
      <w:color w:val="17365D" w:themeColor="text2" w:themeShade="BF"/>
      <w:kern w:val="0"/>
      <w:sz w:val="24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spacing w:before="120" w:after="120" w:line="240" w:lineRule="auto"/>
      <w:ind w:right="-2"/>
      <w:jc w:val="both"/>
    </w:pPr>
    <w:rPr>
      <w:rFonts w:ascii="Century Gothic" w:hAnsi="Century Gothic"/>
      <w:color w:val="17365D" w:themeColor="text2" w:themeShade="BF"/>
      <w:sz w:val="24"/>
      <w:szCs w:val="24"/>
      <w:lang w:eastAsia="it-IT"/>
    </w:r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spacing w:before="120" w:after="120" w:line="240" w:lineRule="auto"/>
      <w:ind w:left="440"/>
      <w:jc w:val="both"/>
    </w:pPr>
    <w:rPr>
      <w:rFonts w:ascii="Times New Roman" w:hAnsi="Times New Roman"/>
      <w:color w:val="17365D" w:themeColor="text2" w:themeShade="BF"/>
      <w:sz w:val="24"/>
      <w:szCs w:val="24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pPr>
      <w:spacing w:before="120" w:after="120" w:line="240" w:lineRule="auto"/>
      <w:jc w:val="both"/>
    </w:pPr>
    <w:rPr>
      <w:rFonts w:ascii="Times New Roman" w:hAnsi="Times New Roman"/>
      <w:color w:val="17365D" w:themeColor="text2" w:themeShade="BF"/>
      <w:sz w:val="24"/>
      <w:szCs w:val="24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pPr>
      <w:spacing w:before="120" w:after="120" w:line="240" w:lineRule="auto"/>
      <w:jc w:val="both"/>
    </w:pPr>
    <w:rPr>
      <w:rFonts w:ascii="Times New Roman" w:hAnsi="Times New Roman"/>
      <w:color w:val="17365D" w:themeColor="text2" w:themeShade="BF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pPr>
      <w:spacing w:before="120" w:after="120" w:line="240" w:lineRule="auto"/>
      <w:jc w:val="both"/>
    </w:pPr>
    <w:rPr>
      <w:rFonts w:ascii="Times New Roman" w:hAnsi="Times New Roman"/>
      <w:color w:val="17365D" w:themeColor="text2" w:themeShade="BF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  <w:pPr>
      <w:spacing w:before="120" w:after="120" w:line="240" w:lineRule="auto"/>
      <w:jc w:val="both"/>
    </w:pPr>
    <w:rPr>
      <w:rFonts w:ascii="Century Gothic" w:hAnsi="Century Gothic"/>
      <w:color w:val="17365D" w:themeColor="text2" w:themeShade="BF"/>
      <w:sz w:val="24"/>
      <w:szCs w:val="24"/>
      <w:lang w:eastAsia="it-IT"/>
    </w:rPr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spacing w:before="120" w:after="120" w:line="240" w:lineRule="auto"/>
      <w:ind w:left="480"/>
      <w:jc w:val="both"/>
    </w:pPr>
    <w:rPr>
      <w:rFonts w:ascii="Century Gothic" w:hAnsi="Century Gothic"/>
      <w:color w:val="FF0000"/>
      <w:sz w:val="18"/>
      <w:szCs w:val="18"/>
      <w:lang w:eastAsia="it-I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pPr>
      <w:spacing w:before="120" w:after="120" w:line="240" w:lineRule="auto"/>
      <w:jc w:val="both"/>
    </w:pPr>
    <w:rPr>
      <w:color w:val="17365D" w:themeColor="text2" w:themeShade="BF"/>
      <w:sz w:val="24"/>
      <w:szCs w:val="21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pPr>
      <w:spacing w:before="120" w:after="120" w:line="240" w:lineRule="auto"/>
      <w:jc w:val="both"/>
    </w:pPr>
    <w:rPr>
      <w:rFonts w:ascii="Tahoma" w:hAnsi="Tahoma" w:cs="Tahoma"/>
      <w:color w:val="17365D" w:themeColor="text2" w:themeShade="BF"/>
      <w:sz w:val="24"/>
      <w:szCs w:val="24"/>
      <w:lang w:eastAsia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basedOn w:val="Normale"/>
    <w:uiPriority w:val="1"/>
    <w:qFormat/>
    <w:rsid w:val="00130235"/>
    <w:pPr>
      <w:spacing w:before="120" w:after="120" w:line="240" w:lineRule="auto"/>
      <w:ind w:left="2160"/>
      <w:jc w:val="both"/>
    </w:pPr>
    <w:rPr>
      <w:rFonts w:ascii="Century Gothic" w:hAnsi="Century Gothic"/>
      <w:color w:val="0F243E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130235"/>
    <w:pPr>
      <w:spacing w:before="120" w:after="120" w:line="240" w:lineRule="auto"/>
      <w:ind w:left="720"/>
      <w:jc w:val="both"/>
    </w:pPr>
    <w:rPr>
      <w:rFonts w:ascii="Century Gothic" w:hAnsi="Century Gothic"/>
      <w:color w:val="17365D" w:themeColor="text2" w:themeShade="BF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6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676</Words>
  <Characters>3858</Characters>
  <Application>Microsoft Office Word</Application>
  <DocSecurity>0</DocSecurity>
  <Lines>32</Lines>
  <Paragraphs>9</Paragraphs>
  <ScaleCrop>false</ScaleCrop>
  <Company/>
  <LinksUpToDate>false</LinksUpToDate>
  <CharactersWithSpaces>4525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 Novelli</dc:creator>
  <cp:lastModifiedBy>Mauro Novelli</cp:lastModifiedBy>
  <cp:revision>1</cp:revision>
  <dcterms:created xsi:type="dcterms:W3CDTF">2014-04-09T08:15:00Z</dcterms:created>
  <dcterms:modified xsi:type="dcterms:W3CDTF">2014-04-09T08:17:00Z</dcterms:modified>
</cp:coreProperties>
</file>