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619" w:rsidRDefault="00571619" w:rsidP="00571619">
      <w:pPr>
        <w:spacing w:after="0" w:line="240" w:lineRule="auto"/>
        <w:ind w:right="-1"/>
        <w:jc w:val="center"/>
        <w:rPr>
          <w:rFonts w:ascii="Century Gothic" w:eastAsia="Times New Roman" w:hAnsi="Century Gothic" w:cs="Times New Roman"/>
          <w:sz w:val="28"/>
          <w:szCs w:val="32"/>
          <w:lang w:eastAsia="it-IT"/>
        </w:rPr>
      </w:pPr>
      <w:r>
        <w:rPr>
          <w:rFonts w:ascii="Century Gothic" w:eastAsia="Times New Roman" w:hAnsi="Century Gothic" w:cs="Times New Roman"/>
          <w:sz w:val="28"/>
          <w:szCs w:val="32"/>
          <w:lang w:eastAsia="it-IT"/>
        </w:rPr>
        <w:t>COMUNICATO STAMPA</w:t>
      </w:r>
    </w:p>
    <w:p w:rsidR="00571619" w:rsidRDefault="00571619" w:rsidP="00571619">
      <w:pPr>
        <w:spacing w:after="0" w:line="240" w:lineRule="auto"/>
        <w:ind w:right="-1"/>
        <w:jc w:val="center"/>
        <w:rPr>
          <w:rFonts w:ascii="Century Gothic" w:eastAsia="Times New Roman" w:hAnsi="Century Gothic" w:cs="Times New Roman"/>
          <w:sz w:val="28"/>
          <w:szCs w:val="32"/>
          <w:lang w:eastAsia="it-IT"/>
        </w:rPr>
      </w:pPr>
    </w:p>
    <w:p w:rsidR="00FF4228" w:rsidRDefault="00571619" w:rsidP="00571619">
      <w:pPr>
        <w:spacing w:after="0" w:line="240" w:lineRule="auto"/>
        <w:ind w:right="-1"/>
        <w:jc w:val="center"/>
        <w:rPr>
          <w:rFonts w:ascii="Century Gothic" w:eastAsia="Times New Roman" w:hAnsi="Century Gothic" w:cs="Times New Roman"/>
          <w:sz w:val="28"/>
          <w:szCs w:val="32"/>
          <w:lang w:eastAsia="it-IT"/>
        </w:rPr>
      </w:pPr>
      <w:r>
        <w:rPr>
          <w:rFonts w:ascii="Century Gothic" w:eastAsia="Times New Roman" w:hAnsi="Century Gothic" w:cs="Times New Roman"/>
          <w:sz w:val="28"/>
          <w:szCs w:val="32"/>
          <w:lang w:eastAsia="it-IT"/>
        </w:rPr>
        <w:t xml:space="preserve">BANCHE: </w:t>
      </w:r>
      <w:r w:rsidR="00FF4228" w:rsidRPr="00FF4228">
        <w:rPr>
          <w:rFonts w:ascii="Century Gothic" w:eastAsia="Times New Roman" w:hAnsi="Century Gothic" w:cs="Times New Roman"/>
          <w:sz w:val="28"/>
          <w:szCs w:val="32"/>
          <w:lang w:eastAsia="it-IT"/>
        </w:rPr>
        <w:t xml:space="preserve">ABI </w:t>
      </w:r>
      <w:r>
        <w:rPr>
          <w:rFonts w:ascii="Century Gothic" w:eastAsia="Times New Roman" w:hAnsi="Century Gothic" w:cs="Times New Roman"/>
          <w:sz w:val="28"/>
          <w:szCs w:val="32"/>
          <w:lang w:eastAsia="it-IT"/>
        </w:rPr>
        <w:t xml:space="preserve">CONTINUA A VANTARE CRESCITE (+86,1% PRIMI 8 MESI 2015)  DEI MUTUI, NON RISCONTRABILI NEI DATI FORNITI DA BANKITALIA. </w:t>
      </w:r>
    </w:p>
    <w:p w:rsidR="00571619" w:rsidRDefault="00571619" w:rsidP="00571619">
      <w:pPr>
        <w:spacing w:after="0" w:line="240" w:lineRule="auto"/>
        <w:ind w:right="-1"/>
        <w:jc w:val="center"/>
        <w:rPr>
          <w:rFonts w:ascii="Century Gothic" w:eastAsia="Times New Roman" w:hAnsi="Century Gothic" w:cs="Times New Roman"/>
          <w:sz w:val="28"/>
          <w:szCs w:val="32"/>
          <w:lang w:eastAsia="it-IT"/>
        </w:rPr>
      </w:pPr>
      <w:r>
        <w:rPr>
          <w:rFonts w:ascii="Century Gothic" w:eastAsia="Times New Roman" w:hAnsi="Century Gothic" w:cs="Times New Roman"/>
          <w:sz w:val="28"/>
          <w:szCs w:val="32"/>
          <w:lang w:eastAsia="it-IT"/>
        </w:rPr>
        <w:t>CHIARISCA ABI SE NELLE NUOVE EROGAZIONI, CI SONO LE SURROGHE</w:t>
      </w:r>
    </w:p>
    <w:p w:rsidR="00FF4228" w:rsidRPr="00FF4228" w:rsidRDefault="00FF4228" w:rsidP="00FF4228">
      <w:pPr>
        <w:spacing w:after="0" w:line="240" w:lineRule="auto"/>
        <w:ind w:right="-1"/>
        <w:jc w:val="center"/>
        <w:rPr>
          <w:rFonts w:ascii="Century Gothic" w:eastAsia="Times New Roman" w:hAnsi="Century Gothic" w:cs="Times New Roman"/>
          <w:color w:val="000000"/>
          <w:sz w:val="20"/>
          <w:lang w:eastAsia="it-IT"/>
        </w:rPr>
      </w:pPr>
    </w:p>
    <w:p w:rsidR="00571619" w:rsidRDefault="00571619" w:rsidP="00571619">
      <w:pPr>
        <w:pStyle w:val="Nessunaspaziatura"/>
        <w:rPr>
          <w:sz w:val="24"/>
          <w:szCs w:val="24"/>
        </w:rPr>
      </w:pPr>
      <w:r>
        <w:rPr>
          <w:sz w:val="24"/>
          <w:szCs w:val="24"/>
        </w:rPr>
        <w:t xml:space="preserve">     </w:t>
      </w:r>
      <w:r w:rsidRPr="00571619">
        <w:rPr>
          <w:sz w:val="24"/>
          <w:szCs w:val="24"/>
        </w:rPr>
        <w:t>“</w:t>
      </w:r>
      <w:r w:rsidRPr="00585BDC">
        <w:rPr>
          <w:i/>
          <w:sz w:val="24"/>
          <w:szCs w:val="24"/>
        </w:rPr>
        <w:t xml:space="preserve">Salgono dell'86,1% le nuove erogazioni di mutui per l'acquisto di immobili, nei primi 8 mesi del 2015 rispetto ai primi 8 mesi del 2014. Lo riferisce </w:t>
      </w:r>
      <w:proofErr w:type="spellStart"/>
      <w:r w:rsidRPr="00585BDC">
        <w:rPr>
          <w:i/>
          <w:sz w:val="24"/>
          <w:szCs w:val="24"/>
        </w:rPr>
        <w:t>L'Abi</w:t>
      </w:r>
      <w:proofErr w:type="spellEnd"/>
      <w:r w:rsidRPr="00585BDC">
        <w:rPr>
          <w:i/>
          <w:sz w:val="24"/>
          <w:szCs w:val="24"/>
        </w:rPr>
        <w:t xml:space="preserve"> sulla base di un campione di 78 banche (circa 80% del mercato).L'ammontare complessivo delle erogazioni alle famiglie per l'acquisto delle abitazioni - sottolinea </w:t>
      </w:r>
      <w:proofErr w:type="spellStart"/>
      <w:r w:rsidRPr="00585BDC">
        <w:rPr>
          <w:i/>
          <w:sz w:val="24"/>
          <w:szCs w:val="24"/>
        </w:rPr>
        <w:t>Abi</w:t>
      </w:r>
      <w:proofErr w:type="spellEnd"/>
      <w:r w:rsidRPr="00585BDC">
        <w:rPr>
          <w:i/>
          <w:sz w:val="24"/>
          <w:szCs w:val="24"/>
        </w:rPr>
        <w:t xml:space="preserve"> - è stato pari a28,920 miliardi di euro rispetto ai 15,543 miliardi del 2014. I mutui a tasso variabile sono il 48,3%. Ma ad agosto il tasso fisso rappresenta il 60% delle nuove erogazioni</w:t>
      </w:r>
      <w:r w:rsidRPr="00571619">
        <w:rPr>
          <w:sz w:val="24"/>
          <w:szCs w:val="24"/>
        </w:rPr>
        <w:t>”</w:t>
      </w:r>
      <w:r>
        <w:rPr>
          <w:sz w:val="24"/>
          <w:szCs w:val="24"/>
        </w:rPr>
        <w:t>-  questo il lancio dell’Agenzia Ansa</w:t>
      </w:r>
      <w:r w:rsidRPr="00571619">
        <w:rPr>
          <w:sz w:val="24"/>
          <w:szCs w:val="24"/>
        </w:rPr>
        <w:t>.</w:t>
      </w:r>
      <w:r>
        <w:rPr>
          <w:sz w:val="24"/>
          <w:szCs w:val="24"/>
        </w:rPr>
        <w:t xml:space="preserve"> </w:t>
      </w:r>
    </w:p>
    <w:p w:rsidR="00F27752" w:rsidRDefault="00571619" w:rsidP="00FF7BBF">
      <w:pPr>
        <w:pStyle w:val="Nessunaspaziatura"/>
        <w:rPr>
          <w:rFonts w:ascii="Century Gothic" w:eastAsia="Times New Roman" w:hAnsi="Century Gothic" w:cs="Times New Roman"/>
          <w:sz w:val="24"/>
          <w:szCs w:val="28"/>
          <w:lang w:eastAsia="it-IT"/>
        </w:rPr>
      </w:pPr>
      <w:r>
        <w:rPr>
          <w:sz w:val="24"/>
          <w:szCs w:val="24"/>
        </w:rPr>
        <w:t xml:space="preserve">     Una buona notizia</w:t>
      </w:r>
      <w:r w:rsidR="00F27752">
        <w:rPr>
          <w:sz w:val="24"/>
          <w:szCs w:val="24"/>
        </w:rPr>
        <w:t xml:space="preserve"> (qualora fosse vera)</w:t>
      </w:r>
      <w:r>
        <w:rPr>
          <w:sz w:val="24"/>
          <w:szCs w:val="24"/>
        </w:rPr>
        <w:t xml:space="preserve">, auspicata anche da Adusbef e Federconsumatori, che </w:t>
      </w:r>
      <w:r w:rsidR="00F27752">
        <w:rPr>
          <w:sz w:val="24"/>
          <w:szCs w:val="24"/>
        </w:rPr>
        <w:t xml:space="preserve">prima di ogni altra cosa, ritengono prioritaria l’uscita dell’Italia dalle gravissima crisi economica, iniziata nel 2008 con la bolla dei sub-prime e che ha provocato disastri economici e sociali, con un aumento della disoccupazione (specie quella giovanile al 42%), la contrazione del </w:t>
      </w:r>
      <w:proofErr w:type="spellStart"/>
      <w:r w:rsidR="00F27752">
        <w:rPr>
          <w:sz w:val="24"/>
          <w:szCs w:val="24"/>
        </w:rPr>
        <w:t>Pil</w:t>
      </w:r>
      <w:proofErr w:type="spellEnd"/>
      <w:r w:rsidR="00F27752">
        <w:rPr>
          <w:sz w:val="24"/>
          <w:szCs w:val="24"/>
        </w:rPr>
        <w:t>, una grave perdita del potere di acquisto delle famiglie e peggioramento delle condizioni di vita perfino nel cosiddetto ceto medio.</w:t>
      </w:r>
      <w:r w:rsidR="00FF7BBF">
        <w:rPr>
          <w:sz w:val="24"/>
          <w:szCs w:val="24"/>
        </w:rPr>
        <w:t xml:space="preserve"> </w:t>
      </w:r>
      <w:r w:rsidR="00F27752">
        <w:rPr>
          <w:rFonts w:ascii="Century Gothic" w:eastAsia="Times New Roman" w:hAnsi="Century Gothic" w:cs="Times New Roman"/>
          <w:sz w:val="24"/>
          <w:szCs w:val="28"/>
          <w:lang w:eastAsia="it-IT"/>
        </w:rPr>
        <w:t xml:space="preserve"> Vediamo la cronologia</w:t>
      </w:r>
      <w:r w:rsidR="0093235D">
        <w:rPr>
          <w:rFonts w:ascii="Century Gothic" w:eastAsia="Times New Roman" w:hAnsi="Century Gothic" w:cs="Times New Roman"/>
          <w:sz w:val="24"/>
          <w:szCs w:val="28"/>
          <w:lang w:eastAsia="it-IT"/>
        </w:rPr>
        <w:t xml:space="preserve"> ricostruita puntualmente dal dr. Mauro Novelli-segretario nazionale Adusbef</w:t>
      </w:r>
      <w:r w:rsidR="00F27752">
        <w:rPr>
          <w:rFonts w:ascii="Century Gothic" w:eastAsia="Times New Roman" w:hAnsi="Century Gothic" w:cs="Times New Roman"/>
          <w:sz w:val="24"/>
          <w:szCs w:val="28"/>
          <w:lang w:eastAsia="it-IT"/>
        </w:rPr>
        <w:t xml:space="preserve">: </w:t>
      </w:r>
    </w:p>
    <w:p w:rsidR="00FF4228" w:rsidRPr="00FF4228" w:rsidRDefault="00585BDC" w:rsidP="00FF4228">
      <w:pPr>
        <w:spacing w:after="0" w:line="240" w:lineRule="auto"/>
        <w:ind w:right="-1"/>
        <w:rPr>
          <w:rFonts w:ascii="Century Gothic" w:eastAsia="Times New Roman" w:hAnsi="Century Gothic" w:cs="Times New Roman"/>
          <w:color w:val="000000"/>
          <w:sz w:val="20"/>
          <w:lang w:eastAsia="it-IT"/>
        </w:rPr>
      </w:pPr>
      <w:r>
        <w:rPr>
          <w:rFonts w:ascii="Century Gothic" w:eastAsia="Times New Roman" w:hAnsi="Century Gothic" w:cs="Times New Roman"/>
          <w:sz w:val="24"/>
          <w:szCs w:val="28"/>
          <w:lang w:eastAsia="it-IT"/>
        </w:rPr>
        <w:t xml:space="preserve">    </w:t>
      </w:r>
      <w:r w:rsidR="00FF4228" w:rsidRPr="00FF4228">
        <w:rPr>
          <w:rFonts w:ascii="Century Gothic" w:eastAsia="Times New Roman" w:hAnsi="Century Gothic" w:cs="Times New Roman"/>
          <w:sz w:val="24"/>
          <w:szCs w:val="28"/>
          <w:lang w:eastAsia="it-IT"/>
        </w:rPr>
        <w:t xml:space="preserve">Il 17 giugno </w:t>
      </w:r>
      <w:r w:rsidR="00F27752">
        <w:rPr>
          <w:rFonts w:ascii="Century Gothic" w:eastAsia="Times New Roman" w:hAnsi="Century Gothic" w:cs="Times New Roman"/>
          <w:sz w:val="24"/>
          <w:szCs w:val="28"/>
          <w:lang w:eastAsia="it-IT"/>
        </w:rPr>
        <w:t>2015,</w:t>
      </w:r>
      <w:r w:rsidR="00FF4228" w:rsidRPr="00FF4228">
        <w:rPr>
          <w:rFonts w:ascii="Century Gothic" w:eastAsia="Times New Roman" w:hAnsi="Century Gothic" w:cs="Times New Roman"/>
          <w:sz w:val="24"/>
          <w:szCs w:val="28"/>
          <w:lang w:eastAsia="it-IT"/>
        </w:rPr>
        <w:t xml:space="preserve"> ABI informava che nel primo quadrimestre del 2015, </w:t>
      </w:r>
      <w:r w:rsidR="00FF4228" w:rsidRPr="00FF4228">
        <w:rPr>
          <w:rFonts w:ascii="Century Gothic" w:eastAsia="Times New Roman" w:hAnsi="Century Gothic" w:cs="Times New Roman"/>
          <w:b/>
          <w:bCs/>
          <w:sz w:val="24"/>
          <w:szCs w:val="28"/>
          <w:lang w:eastAsia="it-IT"/>
        </w:rPr>
        <w:t>per le nuove erogazioni di mutui per l’acquisto di immobili è stato registrato un</w:t>
      </w:r>
      <w:r w:rsidR="00FF4228" w:rsidRPr="00FF4228">
        <w:rPr>
          <w:rFonts w:ascii="Century Gothic" w:eastAsia="Times New Roman" w:hAnsi="Century Gothic" w:cs="Times New Roman"/>
          <w:sz w:val="24"/>
          <w:szCs w:val="28"/>
          <w:lang w:eastAsia="it-IT"/>
        </w:rPr>
        <w:t> </w:t>
      </w:r>
      <w:r w:rsidR="00FF4228" w:rsidRPr="00FF4228">
        <w:rPr>
          <w:rFonts w:ascii="Century Gothic" w:eastAsia="Times New Roman" w:hAnsi="Century Gothic" w:cs="Times New Roman"/>
          <w:b/>
          <w:bCs/>
          <w:sz w:val="24"/>
          <w:szCs w:val="28"/>
          <w:lang w:eastAsia="it-IT"/>
        </w:rPr>
        <w:t>incremento annuo del +55,2%</w:t>
      </w:r>
      <w:r w:rsidR="00FF4228" w:rsidRPr="00FF4228">
        <w:rPr>
          <w:rFonts w:ascii="Century Gothic" w:eastAsia="Times New Roman" w:hAnsi="Century Gothic" w:cs="Times New Roman"/>
          <w:sz w:val="24"/>
          <w:szCs w:val="28"/>
          <w:lang w:eastAsia="it-IT"/>
        </w:rPr>
        <w:t> rispetto al medesimo quadrimestre dello scorso anno.</w:t>
      </w:r>
    </w:p>
    <w:p w:rsidR="00FF4228" w:rsidRPr="00FF4228" w:rsidRDefault="00585BDC" w:rsidP="00FF4228">
      <w:pPr>
        <w:spacing w:after="0" w:line="240" w:lineRule="auto"/>
        <w:ind w:right="-1"/>
        <w:rPr>
          <w:rFonts w:ascii="Century Gothic" w:eastAsia="Times New Roman" w:hAnsi="Century Gothic" w:cs="Times New Roman"/>
          <w:color w:val="000000"/>
          <w:sz w:val="20"/>
          <w:lang w:eastAsia="it-IT"/>
        </w:rPr>
      </w:pPr>
      <w:r>
        <w:rPr>
          <w:rFonts w:ascii="Century Gothic" w:eastAsia="Times New Roman" w:hAnsi="Century Gothic" w:cs="Times New Roman"/>
          <w:sz w:val="24"/>
          <w:szCs w:val="28"/>
          <w:lang w:eastAsia="it-IT"/>
        </w:rPr>
        <w:t xml:space="preserve">     </w:t>
      </w:r>
      <w:r w:rsidR="00F27752">
        <w:rPr>
          <w:rFonts w:ascii="Century Gothic" w:eastAsia="Times New Roman" w:hAnsi="Century Gothic" w:cs="Times New Roman"/>
          <w:sz w:val="24"/>
          <w:szCs w:val="28"/>
          <w:lang w:eastAsia="it-IT"/>
        </w:rPr>
        <w:t xml:space="preserve">Il 27 agosto 2015 </w:t>
      </w:r>
      <w:proofErr w:type="spellStart"/>
      <w:r w:rsidR="00FF4228" w:rsidRPr="00FF4228">
        <w:rPr>
          <w:rFonts w:ascii="Century Gothic" w:eastAsia="Times New Roman" w:hAnsi="Century Gothic" w:cs="Times New Roman"/>
          <w:sz w:val="24"/>
          <w:szCs w:val="28"/>
          <w:lang w:eastAsia="it-IT"/>
        </w:rPr>
        <w:t>Abi</w:t>
      </w:r>
      <w:proofErr w:type="spellEnd"/>
      <w:r w:rsidR="00FF4228" w:rsidRPr="00FF4228">
        <w:rPr>
          <w:rFonts w:ascii="Century Gothic" w:eastAsia="Times New Roman" w:hAnsi="Century Gothic" w:cs="Times New Roman"/>
          <w:sz w:val="24"/>
          <w:szCs w:val="28"/>
          <w:lang w:eastAsia="it-IT"/>
        </w:rPr>
        <w:t> ha comunicato i dati relativi ai prestiti erogati nel primo semestre dell’anno</w:t>
      </w:r>
      <w:r w:rsidR="00FF4228" w:rsidRPr="00FF4228">
        <w:rPr>
          <w:rFonts w:ascii="Century Gothic" w:eastAsia="Times New Roman" w:hAnsi="Century Gothic" w:cs="Times New Roman"/>
          <w:i/>
          <w:iCs/>
          <w:sz w:val="24"/>
          <w:szCs w:val="28"/>
          <w:lang w:eastAsia="it-IT"/>
        </w:rPr>
        <w:t>: “</w:t>
      </w:r>
      <w:r w:rsidR="00FF4228" w:rsidRPr="00FF4228">
        <w:rPr>
          <w:rFonts w:ascii="Arial" w:eastAsia="Times New Roman" w:hAnsi="Arial" w:cs="Arial"/>
          <w:i/>
          <w:iCs/>
          <w:sz w:val="24"/>
          <w:szCs w:val="28"/>
          <w:lang w:eastAsia="it-IT"/>
        </w:rPr>
        <w:t>​</w:t>
      </w:r>
      <w:r w:rsidR="00FF4228" w:rsidRPr="00FF4228">
        <w:rPr>
          <w:rFonts w:ascii="Century Gothic" w:eastAsia="Times New Roman" w:hAnsi="Century Gothic" w:cs="Times New Roman"/>
          <w:i/>
          <w:iCs/>
          <w:sz w:val="24"/>
          <w:szCs w:val="28"/>
          <w:lang w:eastAsia="it-IT"/>
        </w:rPr>
        <w:t>I finanziamenti alle imprese hanno segnato nei primi sette mesi del 2015 un incremento del +16% sul corrispondente periodo dell’anno precedente (gennaio-luglio 2014</w:t>
      </w:r>
      <w:r w:rsidR="00FF4228" w:rsidRPr="00FF4228">
        <w:rPr>
          <w:rFonts w:ascii="Century Gothic" w:eastAsia="Times New Roman" w:hAnsi="Century Gothic" w:cs="Times New Roman"/>
          <w:b/>
          <w:bCs/>
          <w:i/>
          <w:iCs/>
          <w:sz w:val="24"/>
          <w:szCs w:val="28"/>
          <w:lang w:eastAsia="it-IT"/>
        </w:rPr>
        <w:t>). Per le nuove erogazioni di mutui per l’acquisto di immobili, sempre nello stesso periodo, si è registrato un incremento annuo del +82,2% rispetto al medesimo arco temporale dello scorso anno.</w:t>
      </w:r>
      <w:r w:rsidR="00FF4228" w:rsidRPr="00FF4228">
        <w:rPr>
          <w:rFonts w:ascii="Century Gothic" w:eastAsia="Times New Roman" w:hAnsi="Century Gothic" w:cs="Times New Roman"/>
          <w:i/>
          <w:iCs/>
          <w:sz w:val="24"/>
          <w:szCs w:val="28"/>
          <w:lang w:eastAsia="it-IT"/>
        </w:rPr>
        <w:t> Nell’analogo periodo, le nuove operazioni di credito al consumo hanno segnato un incremento del +24,3%.</w:t>
      </w:r>
      <w:r w:rsidR="00FF4228" w:rsidRPr="00FF4228">
        <w:rPr>
          <w:rFonts w:ascii="Century Gothic" w:eastAsia="Times New Roman" w:hAnsi="Century Gothic" w:cs="Times New Roman"/>
          <w:i/>
          <w:iCs/>
          <w:color w:val="000000"/>
          <w:sz w:val="20"/>
          <w:lang w:eastAsia="it-IT"/>
        </w:rPr>
        <w:t>”</w:t>
      </w:r>
    </w:p>
    <w:p w:rsidR="00FF4228" w:rsidRPr="00FF4228" w:rsidRDefault="00F27752" w:rsidP="00FF4228">
      <w:pPr>
        <w:spacing w:after="0" w:line="240" w:lineRule="auto"/>
        <w:ind w:right="-1"/>
        <w:rPr>
          <w:rFonts w:ascii="Century Gothic" w:eastAsia="Times New Roman" w:hAnsi="Century Gothic" w:cs="Times New Roman"/>
          <w:color w:val="000000"/>
          <w:sz w:val="20"/>
          <w:lang w:eastAsia="it-IT"/>
        </w:rPr>
      </w:pPr>
      <w:r>
        <w:rPr>
          <w:rFonts w:ascii="Century Gothic" w:eastAsia="Times New Roman" w:hAnsi="Century Gothic" w:cs="Times New Roman"/>
          <w:sz w:val="24"/>
          <w:szCs w:val="28"/>
          <w:lang w:eastAsia="it-IT"/>
        </w:rPr>
        <w:t xml:space="preserve">   </w:t>
      </w:r>
      <w:r w:rsidR="00FF4228" w:rsidRPr="00FF4228">
        <w:rPr>
          <w:rFonts w:ascii="Century Gothic" w:eastAsia="Times New Roman" w:hAnsi="Century Gothic" w:cs="Times New Roman"/>
          <w:sz w:val="24"/>
          <w:szCs w:val="28"/>
          <w:lang w:eastAsia="it-IT"/>
        </w:rPr>
        <w:t>Il dato sarebbe altamente consolante se non contrastasse con le rilevazioni effettuate ogni mese  dalla Banca d’Italia che ricava i dati di prestiti e raccolta indagando i bilanci delle banche italiane.</w:t>
      </w:r>
    </w:p>
    <w:p w:rsidR="00FF4228" w:rsidRPr="00FF4228" w:rsidRDefault="00FF4228" w:rsidP="00FF4228">
      <w:pPr>
        <w:spacing w:after="0" w:line="240" w:lineRule="auto"/>
        <w:ind w:right="-1"/>
        <w:rPr>
          <w:rFonts w:ascii="Century Gothic" w:eastAsia="Times New Roman" w:hAnsi="Century Gothic" w:cs="Times New Roman"/>
          <w:color w:val="000000"/>
          <w:sz w:val="20"/>
          <w:lang w:eastAsia="it-IT"/>
        </w:rPr>
      </w:pPr>
      <w:r w:rsidRPr="00FF4228">
        <w:rPr>
          <w:rFonts w:ascii="Century Gothic" w:eastAsia="Times New Roman" w:hAnsi="Century Gothic" w:cs="Times New Roman"/>
          <w:sz w:val="24"/>
          <w:szCs w:val="28"/>
          <w:lang w:eastAsia="it-IT"/>
        </w:rPr>
        <w:t>Nel giugno 2015, per </w:t>
      </w:r>
      <w:proofErr w:type="spellStart"/>
      <w:r w:rsidRPr="00FF4228">
        <w:rPr>
          <w:rFonts w:ascii="Century Gothic" w:eastAsia="Times New Roman" w:hAnsi="Century Gothic" w:cs="Times New Roman"/>
          <w:sz w:val="24"/>
          <w:szCs w:val="28"/>
          <w:lang w:eastAsia="it-IT"/>
        </w:rPr>
        <w:t>Bankitalia</w:t>
      </w:r>
      <w:proofErr w:type="spellEnd"/>
      <w:r w:rsidRPr="00FF4228">
        <w:rPr>
          <w:rFonts w:ascii="Century Gothic" w:eastAsia="Times New Roman" w:hAnsi="Century Gothic" w:cs="Times New Roman"/>
          <w:sz w:val="24"/>
          <w:szCs w:val="28"/>
          <w:lang w:eastAsia="it-IT"/>
        </w:rPr>
        <w:t> i prestiti alle famiglie sono  cresciuti dello 0,1 % rispetto ad un anno prima e dobbiamo chiederci come possa trovare spazio – nello stesso periodo - l’aumento dell’82,2 % dei mutui fornito dall’ABI per il primo semestre 2015 rispetto allo stesso periodo del 2014. Forse considera la surroga un nuovo mutuo? Sarebbe opportuno che disaggregasse più incisivamente meglio il dato fornito.</w:t>
      </w:r>
      <w:r w:rsidR="00F27752">
        <w:rPr>
          <w:rFonts w:ascii="Century Gothic" w:eastAsia="Times New Roman" w:hAnsi="Century Gothic" w:cs="Times New Roman"/>
          <w:sz w:val="24"/>
          <w:szCs w:val="28"/>
          <w:lang w:eastAsia="it-IT"/>
        </w:rPr>
        <w:t xml:space="preserve"> </w:t>
      </w:r>
    </w:p>
    <w:p w:rsidR="00FF4228" w:rsidRPr="00FF4228" w:rsidRDefault="00F27752" w:rsidP="00FF4228">
      <w:pPr>
        <w:spacing w:after="0" w:line="240" w:lineRule="auto"/>
        <w:ind w:right="-1"/>
        <w:rPr>
          <w:rFonts w:ascii="Century Gothic" w:eastAsia="Times New Roman" w:hAnsi="Century Gothic" w:cs="Times New Roman"/>
          <w:color w:val="000000"/>
          <w:sz w:val="20"/>
          <w:lang w:eastAsia="it-IT"/>
        </w:rPr>
      </w:pPr>
      <w:r>
        <w:rPr>
          <w:rFonts w:ascii="Century Gothic" w:eastAsia="Times New Roman" w:hAnsi="Century Gothic" w:cs="Times New Roman"/>
          <w:sz w:val="24"/>
          <w:szCs w:val="28"/>
          <w:lang w:eastAsia="it-IT"/>
        </w:rPr>
        <w:t xml:space="preserve">   Analoghe </w:t>
      </w:r>
      <w:r w:rsidR="00FF4228" w:rsidRPr="00FF4228">
        <w:rPr>
          <w:rFonts w:ascii="Century Gothic" w:eastAsia="Times New Roman" w:hAnsi="Century Gothic" w:cs="Times New Roman"/>
          <w:sz w:val="24"/>
          <w:szCs w:val="28"/>
          <w:lang w:eastAsia="it-IT"/>
        </w:rPr>
        <w:t>considerazioni per i prestiti alle imprese non finanziarie. A giugno 2015, rispetto ad un anno prima  le erogazioni sono scese dell’ 1,6 % per </w:t>
      </w:r>
      <w:proofErr w:type="spellStart"/>
      <w:r w:rsidR="00FF4228" w:rsidRPr="00FF4228">
        <w:rPr>
          <w:rFonts w:ascii="Century Gothic" w:eastAsia="Times New Roman" w:hAnsi="Century Gothic" w:cs="Times New Roman"/>
          <w:sz w:val="24"/>
          <w:szCs w:val="28"/>
          <w:lang w:eastAsia="it-IT"/>
        </w:rPr>
        <w:t>Bankitalia</w:t>
      </w:r>
      <w:proofErr w:type="spellEnd"/>
      <w:r w:rsidR="00FF4228" w:rsidRPr="00FF4228">
        <w:rPr>
          <w:rFonts w:ascii="Century Gothic" w:eastAsia="Times New Roman" w:hAnsi="Century Gothic" w:cs="Times New Roman"/>
          <w:sz w:val="24"/>
          <w:szCs w:val="28"/>
          <w:lang w:eastAsia="it-IT"/>
        </w:rPr>
        <w:t>, mentre il comunicato ABI parla di un incremento del  16 % nel primo semestre dell’anno rispetto allo stesso periodo del 2014.</w:t>
      </w:r>
    </w:p>
    <w:p w:rsidR="00FF4228" w:rsidRDefault="00FF4228" w:rsidP="00FF4228">
      <w:pPr>
        <w:spacing w:after="0" w:line="240" w:lineRule="auto"/>
        <w:ind w:right="-1"/>
        <w:rPr>
          <w:rFonts w:ascii="Century Gothic" w:eastAsia="Times New Roman" w:hAnsi="Century Gothic" w:cs="Times New Roman"/>
          <w:sz w:val="24"/>
          <w:szCs w:val="28"/>
          <w:lang w:eastAsia="it-IT"/>
        </w:rPr>
      </w:pPr>
    </w:p>
    <w:p w:rsidR="00FF4228" w:rsidRPr="00FF4228" w:rsidRDefault="00FF4228" w:rsidP="00FF4228">
      <w:pPr>
        <w:spacing w:after="0" w:line="240" w:lineRule="auto"/>
        <w:ind w:right="-1"/>
        <w:rPr>
          <w:rFonts w:ascii="Century Gothic" w:eastAsia="Times New Roman" w:hAnsi="Century Gothic" w:cs="Times New Roman"/>
          <w:color w:val="000000"/>
          <w:sz w:val="20"/>
          <w:lang w:eastAsia="it-IT"/>
        </w:rPr>
      </w:pPr>
      <w:r w:rsidRPr="00FF4228">
        <w:rPr>
          <w:rFonts w:ascii="Century Gothic" w:eastAsia="Times New Roman" w:hAnsi="Century Gothic" w:cs="Times New Roman"/>
          <w:sz w:val="24"/>
          <w:szCs w:val="28"/>
          <w:lang w:eastAsia="it-IT"/>
        </w:rPr>
        <w:t>Riportiamo la tabella fornita dal </w:t>
      </w:r>
      <w:hyperlink r:id="rId5" w:history="1">
        <w:r w:rsidRPr="00FF4228">
          <w:rPr>
            <w:rFonts w:ascii="Century Gothic" w:eastAsia="Times New Roman" w:hAnsi="Century Gothic" w:cs="Times New Roman"/>
            <w:b/>
            <w:bCs/>
            <w:color w:val="800080"/>
            <w:sz w:val="24"/>
            <w:szCs w:val="28"/>
            <w:u w:val="single"/>
            <w:lang w:eastAsia="it-IT"/>
          </w:rPr>
          <w:t>comunicato stampa </w:t>
        </w:r>
        <w:proofErr w:type="spellStart"/>
        <w:r w:rsidRPr="00FF4228">
          <w:rPr>
            <w:rFonts w:ascii="Century Gothic" w:eastAsia="Times New Roman" w:hAnsi="Century Gothic" w:cs="Times New Roman"/>
            <w:b/>
            <w:bCs/>
            <w:color w:val="800080"/>
            <w:sz w:val="24"/>
            <w:szCs w:val="28"/>
            <w:u w:val="single"/>
            <w:lang w:eastAsia="it-IT"/>
          </w:rPr>
          <w:t>Bankitalia</w:t>
        </w:r>
        <w:proofErr w:type="spellEnd"/>
        <w:r w:rsidRPr="00FF4228">
          <w:rPr>
            <w:rFonts w:ascii="Century Gothic" w:eastAsia="Times New Roman" w:hAnsi="Century Gothic" w:cs="Times New Roman"/>
            <w:b/>
            <w:bCs/>
            <w:color w:val="800080"/>
            <w:sz w:val="24"/>
            <w:szCs w:val="28"/>
            <w:u w:val="single"/>
            <w:lang w:eastAsia="it-IT"/>
          </w:rPr>
          <w:t> dell’11-8-2015</w:t>
        </w:r>
      </w:hyperlink>
    </w:p>
    <w:p w:rsidR="00FF4228" w:rsidRPr="00FF4228" w:rsidRDefault="00FF4228" w:rsidP="00FF4228">
      <w:pPr>
        <w:shd w:val="clear" w:color="auto" w:fill="FFFFFF"/>
        <w:spacing w:after="0" w:line="240" w:lineRule="auto"/>
        <w:ind w:right="-1"/>
        <w:jc w:val="left"/>
        <w:textAlignment w:val="baseline"/>
        <w:rPr>
          <w:rFonts w:ascii="Century Gothic" w:eastAsia="Times New Roman" w:hAnsi="Century Gothic" w:cs="Times New Roman"/>
          <w:color w:val="000000"/>
          <w:sz w:val="20"/>
          <w:lang w:eastAsia="it-IT"/>
        </w:rPr>
      </w:pPr>
      <w:r w:rsidRPr="00FF4228">
        <w:rPr>
          <w:rFonts w:ascii="Arial" w:eastAsia="Times New Roman" w:hAnsi="Arial" w:cs="Arial"/>
          <w:color w:val="000000"/>
          <w:szCs w:val="23"/>
          <w:lang w:eastAsia="it-IT"/>
        </w:rPr>
        <w:t> </w:t>
      </w:r>
      <w:bookmarkStart w:id="0" w:name="_GoBack"/>
      <w:bookmarkEnd w:id="0"/>
    </w:p>
    <w:p w:rsidR="00FF4228" w:rsidRPr="00FF4228" w:rsidRDefault="00FF4228" w:rsidP="00FF4228">
      <w:pPr>
        <w:spacing w:after="0" w:line="240" w:lineRule="auto"/>
        <w:ind w:right="-1"/>
        <w:jc w:val="center"/>
        <w:rPr>
          <w:rFonts w:ascii="Century Gothic" w:eastAsia="Times New Roman" w:hAnsi="Century Gothic" w:cs="Times New Roman"/>
          <w:color w:val="000000"/>
          <w:sz w:val="20"/>
          <w:lang w:eastAsia="it-IT"/>
        </w:rPr>
      </w:pPr>
      <w:r w:rsidRPr="00FF7BBF">
        <w:rPr>
          <w:rFonts w:ascii="Times New Roman" w:eastAsia="Times New Roman" w:hAnsi="Times New Roman" w:cs="Times New Roman"/>
          <w:b/>
          <w:bCs/>
          <w:noProof/>
          <w:color w:val="4B4B4B"/>
          <w:sz w:val="16"/>
          <w:szCs w:val="16"/>
          <w:lang w:eastAsia="it-IT"/>
        </w:rPr>
        <w:lastRenderedPageBreak/>
        <w:drawing>
          <wp:inline distT="0" distB="0" distL="0" distR="0" wp14:anchorId="5489AC33" wp14:editId="40A0150B">
            <wp:extent cx="5402840" cy="5191885"/>
            <wp:effectExtent l="0" t="0" r="7620" b="8890"/>
            <wp:docPr id="3" name="Immagine 3" descr="CS Bankit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S Bankitali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2840" cy="5191885"/>
                    </a:xfrm>
                    <a:prstGeom prst="rect">
                      <a:avLst/>
                    </a:prstGeom>
                    <a:noFill/>
                    <a:ln>
                      <a:noFill/>
                    </a:ln>
                  </pic:spPr>
                </pic:pic>
              </a:graphicData>
            </a:graphic>
          </wp:inline>
        </w:drawing>
      </w:r>
    </w:p>
    <w:p w:rsidR="00FF4228" w:rsidRDefault="00FF4228" w:rsidP="00FF4228">
      <w:pPr>
        <w:spacing w:after="0" w:line="240" w:lineRule="auto"/>
        <w:rPr>
          <w:rFonts w:ascii="Century Gothic" w:eastAsia="Times New Roman" w:hAnsi="Century Gothic" w:cs="Times New Roman"/>
          <w:sz w:val="24"/>
          <w:szCs w:val="32"/>
          <w:lang w:eastAsia="it-IT"/>
        </w:rPr>
      </w:pPr>
    </w:p>
    <w:p w:rsidR="00FF4228" w:rsidRPr="00FF7BBF" w:rsidRDefault="0093235D" w:rsidP="00FF4228">
      <w:pPr>
        <w:spacing w:after="0" w:line="240" w:lineRule="auto"/>
        <w:ind w:right="-1"/>
        <w:jc w:val="left"/>
        <w:textAlignment w:val="baseline"/>
        <w:rPr>
          <w:rFonts w:ascii="Century Gothic" w:eastAsia="Times New Roman" w:hAnsi="Century Gothic" w:cs="Times New Roman"/>
          <w:color w:val="000000"/>
          <w:sz w:val="24"/>
          <w:szCs w:val="24"/>
          <w:lang w:eastAsia="it-IT"/>
        </w:rPr>
      </w:pPr>
      <w:hyperlink r:id="rId7" w:anchor="_Comunicato_Banca_d’Italia" w:history="1">
        <w:proofErr w:type="spellStart"/>
        <w:r w:rsidR="00FF4228" w:rsidRPr="00FF7BBF">
          <w:rPr>
            <w:rFonts w:ascii="Century Gothic" w:eastAsia="Times New Roman" w:hAnsi="Century Gothic" w:cs="Times New Roman"/>
            <w:b/>
            <w:bCs/>
            <w:color w:val="800080"/>
            <w:sz w:val="24"/>
            <w:szCs w:val="24"/>
            <w:u w:val="single"/>
            <w:lang w:eastAsia="it-IT"/>
          </w:rPr>
          <w:t>Bankitalia</w:t>
        </w:r>
        <w:proofErr w:type="spellEnd"/>
        <w:r w:rsidR="00FF4228" w:rsidRPr="00FF7BBF">
          <w:rPr>
            <w:rFonts w:ascii="Century Gothic" w:eastAsia="Times New Roman" w:hAnsi="Century Gothic" w:cs="Times New Roman"/>
            <w:b/>
            <w:bCs/>
            <w:color w:val="800080"/>
            <w:sz w:val="24"/>
            <w:szCs w:val="24"/>
            <w:u w:val="single"/>
            <w:lang w:eastAsia="it-IT"/>
          </w:rPr>
          <w:t>:</w:t>
        </w:r>
      </w:hyperlink>
      <w:r w:rsidR="00FF4228" w:rsidRPr="00FF7BBF">
        <w:rPr>
          <w:rFonts w:ascii="Century Gothic" w:eastAsia="Times New Roman" w:hAnsi="Century Gothic" w:cs="Times New Roman"/>
          <w:color w:val="000000"/>
          <w:sz w:val="24"/>
          <w:szCs w:val="24"/>
          <w:lang w:eastAsia="it-IT"/>
        </w:rPr>
        <w:t> Prestiti a società non finanziarie: in calo continuo da anni. A luglio 2015 : -1,1% su luglio 2014.</w:t>
      </w:r>
    </w:p>
    <w:p w:rsidR="00FF4228" w:rsidRPr="00FF7BBF" w:rsidRDefault="00FF4228" w:rsidP="00FF4228">
      <w:pPr>
        <w:spacing w:after="0" w:line="240" w:lineRule="auto"/>
        <w:ind w:right="-1"/>
        <w:jc w:val="left"/>
        <w:textAlignment w:val="baseline"/>
        <w:rPr>
          <w:rFonts w:ascii="Century Gothic" w:eastAsia="Times New Roman" w:hAnsi="Century Gothic" w:cs="Times New Roman"/>
          <w:color w:val="000000"/>
          <w:sz w:val="24"/>
          <w:szCs w:val="24"/>
          <w:lang w:eastAsia="it-IT"/>
        </w:rPr>
      </w:pPr>
      <w:r w:rsidRPr="00FF7BBF">
        <w:rPr>
          <w:rFonts w:ascii="Century Gothic" w:eastAsia="Times New Roman" w:hAnsi="Century Gothic" w:cs="Times New Roman"/>
          <w:color w:val="000000"/>
          <w:sz w:val="24"/>
          <w:szCs w:val="24"/>
          <w:lang w:eastAsia="it-IT"/>
        </w:rPr>
        <w:t> </w:t>
      </w:r>
    </w:p>
    <w:p w:rsidR="00FF4228" w:rsidRPr="00FF7BBF" w:rsidRDefault="0093235D" w:rsidP="00FF4228">
      <w:pPr>
        <w:spacing w:after="0" w:line="240" w:lineRule="auto"/>
        <w:ind w:right="-1"/>
        <w:jc w:val="left"/>
        <w:textAlignment w:val="baseline"/>
        <w:rPr>
          <w:rFonts w:ascii="Century Gothic" w:eastAsia="Times New Roman" w:hAnsi="Century Gothic" w:cs="Times New Roman"/>
          <w:color w:val="000000"/>
          <w:sz w:val="24"/>
          <w:szCs w:val="24"/>
          <w:lang w:eastAsia="it-IT"/>
        </w:rPr>
      </w:pPr>
      <w:hyperlink r:id="rId8" w:anchor="_Dal_Sole_24" w:history="1">
        <w:proofErr w:type="spellStart"/>
        <w:r w:rsidR="00FF4228" w:rsidRPr="00FF7BBF">
          <w:rPr>
            <w:rFonts w:ascii="Century Gothic" w:eastAsia="Times New Roman" w:hAnsi="Century Gothic" w:cs="Times New Roman"/>
            <w:b/>
            <w:bCs/>
            <w:color w:val="800080"/>
            <w:sz w:val="24"/>
            <w:szCs w:val="24"/>
            <w:u w:val="single"/>
            <w:lang w:eastAsia="it-IT"/>
          </w:rPr>
          <w:t>Abi</w:t>
        </w:r>
        <w:proofErr w:type="spellEnd"/>
        <w:r w:rsidR="00FF4228" w:rsidRPr="00FF7BBF">
          <w:rPr>
            <w:rFonts w:ascii="Century Gothic" w:eastAsia="Times New Roman" w:hAnsi="Century Gothic" w:cs="Times New Roman"/>
            <w:b/>
            <w:bCs/>
            <w:color w:val="800080"/>
            <w:sz w:val="24"/>
            <w:szCs w:val="24"/>
            <w:u w:val="single"/>
            <w:lang w:eastAsia="it-IT"/>
          </w:rPr>
          <w:t>:</w:t>
        </w:r>
      </w:hyperlink>
      <w:r w:rsidR="00FF4228" w:rsidRPr="00FF7BBF">
        <w:rPr>
          <w:rFonts w:ascii="Century Gothic" w:eastAsia="Times New Roman" w:hAnsi="Century Gothic" w:cs="Times New Roman"/>
          <w:color w:val="000000"/>
          <w:sz w:val="24"/>
          <w:szCs w:val="24"/>
          <w:lang w:eastAsia="it-IT"/>
        </w:rPr>
        <w:t> Credito alle imprese: +1,5% di nuovi finanziamenti erogati nel 1° trimestre 2015</w:t>
      </w:r>
    </w:p>
    <w:p w:rsidR="00FF4228" w:rsidRPr="00FF7BBF" w:rsidRDefault="00FF4228" w:rsidP="00FF4228">
      <w:pPr>
        <w:spacing w:after="0" w:line="240" w:lineRule="auto"/>
        <w:ind w:right="-1"/>
        <w:jc w:val="left"/>
        <w:textAlignment w:val="baseline"/>
        <w:rPr>
          <w:rFonts w:ascii="Century Gothic" w:eastAsia="Times New Roman" w:hAnsi="Century Gothic" w:cs="Times New Roman"/>
          <w:color w:val="000000"/>
          <w:sz w:val="24"/>
          <w:szCs w:val="24"/>
          <w:lang w:eastAsia="it-IT"/>
        </w:rPr>
      </w:pPr>
      <w:r w:rsidRPr="00FF7BBF">
        <w:rPr>
          <w:rFonts w:ascii="Century Gothic" w:eastAsia="Times New Roman" w:hAnsi="Century Gothic" w:cs="Times New Roman"/>
          <w:color w:val="000000"/>
          <w:sz w:val="24"/>
          <w:szCs w:val="24"/>
          <w:lang w:eastAsia="it-IT"/>
        </w:rPr>
        <w:t> </w:t>
      </w:r>
    </w:p>
    <w:p w:rsidR="00FF4228" w:rsidRPr="00FF7BBF" w:rsidRDefault="00FF4228" w:rsidP="00FF4228">
      <w:pPr>
        <w:spacing w:after="0" w:line="240" w:lineRule="auto"/>
        <w:ind w:right="-1"/>
        <w:jc w:val="left"/>
        <w:textAlignment w:val="baseline"/>
        <w:rPr>
          <w:rFonts w:ascii="Cambria" w:eastAsia="Times New Roman" w:hAnsi="Cambria" w:cs="Times New Roman"/>
          <w:b/>
          <w:bCs/>
          <w:color w:val="4F81BD"/>
          <w:sz w:val="24"/>
          <w:szCs w:val="24"/>
          <w:lang w:eastAsia="it-IT"/>
        </w:rPr>
      </w:pPr>
      <w:r w:rsidRPr="00FF7BBF">
        <w:rPr>
          <w:rFonts w:ascii="Century Gothic" w:eastAsia="Times New Roman" w:hAnsi="Century Gothic" w:cs="Times New Roman"/>
          <w:color w:val="000000"/>
          <w:sz w:val="24"/>
          <w:szCs w:val="24"/>
          <w:lang w:eastAsia="it-IT"/>
        </w:rPr>
        <w:t> </w:t>
      </w:r>
      <w:bookmarkStart w:id="1" w:name="_Comunicato_Banca_d’Italia"/>
      <w:bookmarkEnd w:id="1"/>
      <w:r w:rsidRPr="00FF7BBF">
        <w:rPr>
          <w:rFonts w:ascii="Cambria" w:eastAsia="Times New Roman" w:hAnsi="Cambria" w:cs="Times New Roman"/>
          <w:b/>
          <w:bCs/>
          <w:color w:val="4F81BD"/>
          <w:sz w:val="24"/>
          <w:szCs w:val="24"/>
          <w:lang w:eastAsia="it-IT"/>
        </w:rPr>
        <w:t>Comunicato Banca d’Italia dell’8-9-2015</w:t>
      </w:r>
    </w:p>
    <w:p w:rsidR="00FF4228" w:rsidRPr="00FF7BBF" w:rsidRDefault="00FF4228" w:rsidP="00FF4228">
      <w:pPr>
        <w:spacing w:after="0" w:line="240" w:lineRule="auto"/>
        <w:ind w:right="-1"/>
        <w:rPr>
          <w:rFonts w:ascii="Century Gothic" w:eastAsia="Times New Roman" w:hAnsi="Century Gothic" w:cs="Times New Roman"/>
          <w:color w:val="000000"/>
          <w:sz w:val="24"/>
          <w:szCs w:val="24"/>
          <w:lang w:eastAsia="it-IT"/>
        </w:rPr>
      </w:pPr>
      <w:r w:rsidRPr="00FF7BBF">
        <w:rPr>
          <w:rFonts w:ascii="Century Gothic" w:eastAsia="Times New Roman" w:hAnsi="Century Gothic" w:cs="Times New Roman"/>
          <w:color w:val="000000"/>
          <w:sz w:val="24"/>
          <w:szCs w:val="24"/>
          <w:lang w:eastAsia="it-IT"/>
        </w:rPr>
        <w:t> </w:t>
      </w:r>
    </w:p>
    <w:p w:rsidR="00FF4228" w:rsidRPr="00FF7BBF" w:rsidRDefault="00FF4228" w:rsidP="00FF4228">
      <w:pPr>
        <w:spacing w:after="0" w:line="240" w:lineRule="auto"/>
        <w:ind w:right="-1"/>
        <w:jc w:val="center"/>
        <w:textAlignment w:val="baseline"/>
        <w:rPr>
          <w:rFonts w:ascii="Century Gothic" w:eastAsia="Times New Roman" w:hAnsi="Century Gothic" w:cs="Times New Roman"/>
          <w:color w:val="000000"/>
          <w:sz w:val="16"/>
          <w:szCs w:val="16"/>
          <w:lang w:eastAsia="it-IT"/>
        </w:rPr>
      </w:pPr>
      <w:r w:rsidRPr="00FF7BBF">
        <w:rPr>
          <w:rFonts w:ascii="Century Gothic" w:eastAsia="Times New Roman" w:hAnsi="Century Gothic" w:cs="Times New Roman"/>
          <w:noProof/>
          <w:color w:val="000000"/>
          <w:sz w:val="16"/>
          <w:szCs w:val="16"/>
          <w:lang w:eastAsia="it-IT"/>
        </w:rPr>
        <w:lastRenderedPageBreak/>
        <w:drawing>
          <wp:inline distT="0" distB="0" distL="0" distR="0" wp14:anchorId="38C49800" wp14:editId="69080CF7">
            <wp:extent cx="5703377" cy="4776272"/>
            <wp:effectExtent l="0" t="0" r="0" b="5715"/>
            <wp:docPr id="2" name="Immagine 2" descr="BdI Prastiti 8-9-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dI Prastiti 8-9-20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08472" cy="4780539"/>
                    </a:xfrm>
                    <a:prstGeom prst="rect">
                      <a:avLst/>
                    </a:prstGeom>
                    <a:noFill/>
                    <a:ln>
                      <a:noFill/>
                    </a:ln>
                  </pic:spPr>
                </pic:pic>
              </a:graphicData>
            </a:graphic>
          </wp:inline>
        </w:drawing>
      </w:r>
    </w:p>
    <w:p w:rsidR="00FF4228" w:rsidRPr="00FF7BBF" w:rsidRDefault="00FF4228" w:rsidP="00FF4228">
      <w:pPr>
        <w:spacing w:after="0" w:line="240" w:lineRule="auto"/>
        <w:ind w:right="-1"/>
        <w:jc w:val="left"/>
        <w:textAlignment w:val="baseline"/>
        <w:rPr>
          <w:rFonts w:ascii="Century Gothic" w:eastAsia="Times New Roman" w:hAnsi="Century Gothic" w:cs="Times New Roman"/>
          <w:color w:val="000000"/>
          <w:sz w:val="16"/>
          <w:szCs w:val="16"/>
          <w:lang w:eastAsia="it-IT"/>
        </w:rPr>
      </w:pPr>
      <w:r w:rsidRPr="00FF7BBF">
        <w:rPr>
          <w:rFonts w:ascii="Century Gothic" w:eastAsia="Times New Roman" w:hAnsi="Century Gothic" w:cs="Times New Roman"/>
          <w:color w:val="000000"/>
          <w:sz w:val="16"/>
          <w:szCs w:val="16"/>
          <w:lang w:eastAsia="it-IT"/>
        </w:rPr>
        <w:t> </w:t>
      </w:r>
    </w:p>
    <w:p w:rsidR="00FF4228" w:rsidRPr="00FF7BBF" w:rsidRDefault="00FF4228" w:rsidP="00FF4228">
      <w:pPr>
        <w:spacing w:after="0" w:line="240" w:lineRule="auto"/>
        <w:ind w:right="-1"/>
        <w:jc w:val="left"/>
        <w:textAlignment w:val="baseline"/>
        <w:rPr>
          <w:rFonts w:ascii="Cambria" w:eastAsia="Times New Roman" w:hAnsi="Cambria" w:cs="Times New Roman"/>
          <w:b/>
          <w:bCs/>
          <w:color w:val="4F81BD"/>
          <w:sz w:val="16"/>
          <w:szCs w:val="16"/>
          <w:lang w:eastAsia="it-IT"/>
        </w:rPr>
      </w:pPr>
      <w:r w:rsidRPr="00FF7BBF">
        <w:rPr>
          <w:rFonts w:ascii="Century Gothic" w:eastAsia="Times New Roman" w:hAnsi="Century Gothic" w:cs="Times New Roman"/>
          <w:color w:val="000000"/>
          <w:sz w:val="16"/>
          <w:szCs w:val="16"/>
          <w:lang w:eastAsia="it-IT"/>
        </w:rPr>
        <w:t> </w:t>
      </w:r>
      <w:bookmarkStart w:id="2" w:name="_Dal_Sole_24"/>
      <w:bookmarkEnd w:id="2"/>
      <w:r w:rsidRPr="00FF7BBF">
        <w:rPr>
          <w:rFonts w:ascii="Cambria" w:eastAsia="Times New Roman" w:hAnsi="Cambria" w:cs="Times New Roman"/>
          <w:b/>
          <w:bCs/>
          <w:color w:val="4F81BD"/>
          <w:sz w:val="16"/>
          <w:szCs w:val="16"/>
          <w:lang w:eastAsia="it-IT"/>
        </w:rPr>
        <w:t>Dal Sole 24 Ore del 21-9-2015</w:t>
      </w:r>
    </w:p>
    <w:p w:rsidR="00FF4228" w:rsidRPr="00FF7BBF" w:rsidRDefault="00FF4228" w:rsidP="00FF4228">
      <w:pPr>
        <w:spacing w:after="0" w:line="240" w:lineRule="auto"/>
        <w:ind w:right="-1"/>
        <w:jc w:val="left"/>
        <w:textAlignment w:val="baseline"/>
        <w:rPr>
          <w:rFonts w:ascii="Century Gothic" w:eastAsia="Times New Roman" w:hAnsi="Century Gothic" w:cs="Times New Roman"/>
          <w:color w:val="000000"/>
          <w:sz w:val="16"/>
          <w:szCs w:val="16"/>
          <w:lang w:eastAsia="it-IT"/>
        </w:rPr>
      </w:pPr>
      <w:r w:rsidRPr="00FF7BBF">
        <w:rPr>
          <w:rFonts w:ascii="Century Gothic" w:eastAsia="Times New Roman" w:hAnsi="Century Gothic" w:cs="Times New Roman"/>
          <w:color w:val="000000"/>
          <w:sz w:val="16"/>
          <w:szCs w:val="16"/>
          <w:lang w:eastAsia="it-IT"/>
        </w:rPr>
        <w:t> </w:t>
      </w:r>
    </w:p>
    <w:p w:rsidR="00FF4228" w:rsidRPr="00FF7BBF" w:rsidRDefault="00FF4228" w:rsidP="00FF4228">
      <w:pPr>
        <w:shd w:val="clear" w:color="auto" w:fill="F5E5D5"/>
        <w:spacing w:after="0" w:line="240" w:lineRule="auto"/>
        <w:ind w:right="-1"/>
        <w:textAlignment w:val="baseline"/>
        <w:rPr>
          <w:rFonts w:ascii="Century Gothic" w:eastAsia="Times New Roman" w:hAnsi="Century Gothic" w:cs="Times New Roman"/>
          <w:color w:val="000000"/>
          <w:sz w:val="16"/>
          <w:szCs w:val="16"/>
          <w:lang w:eastAsia="it-IT"/>
        </w:rPr>
      </w:pPr>
      <w:r w:rsidRPr="00FF7BBF">
        <w:rPr>
          <w:rFonts w:ascii="Times New Roman" w:eastAsia="Times New Roman" w:hAnsi="Times New Roman" w:cs="Times New Roman"/>
          <w:b/>
          <w:bCs/>
          <w:color w:val="373737"/>
          <w:sz w:val="16"/>
          <w:szCs w:val="16"/>
          <w:lang w:eastAsia="it-IT"/>
        </w:rPr>
        <w:t>Credito alle imprese in cerca di una svolta: +1,5% di nuovi finanziamenti erogati nel 2015</w:t>
      </w:r>
    </w:p>
    <w:p w:rsidR="00FF4228" w:rsidRPr="00FF7BBF" w:rsidRDefault="00FF4228" w:rsidP="00FF4228">
      <w:pPr>
        <w:shd w:val="clear" w:color="auto" w:fill="F5E5D5"/>
        <w:spacing w:after="0" w:line="240" w:lineRule="auto"/>
        <w:ind w:right="-1"/>
        <w:textAlignment w:val="baseline"/>
        <w:rPr>
          <w:rFonts w:ascii="Century Gothic" w:eastAsia="Times New Roman" w:hAnsi="Century Gothic" w:cs="Times New Roman"/>
          <w:color w:val="000000"/>
          <w:sz w:val="16"/>
          <w:szCs w:val="16"/>
          <w:lang w:eastAsia="it-IT"/>
        </w:rPr>
      </w:pPr>
      <w:r w:rsidRPr="00FF7BBF">
        <w:rPr>
          <w:rFonts w:ascii="Helvetica" w:eastAsia="Times New Roman" w:hAnsi="Helvetica" w:cs="Helvetica"/>
          <w:noProof/>
          <w:color w:val="373737"/>
          <w:sz w:val="16"/>
          <w:szCs w:val="16"/>
          <w:lang w:eastAsia="it-IT"/>
        </w:rPr>
        <w:drawing>
          <wp:inline distT="0" distB="0" distL="0" distR="0" wp14:anchorId="74E65F2E" wp14:editId="44DE66CA">
            <wp:extent cx="339090" cy="339090"/>
            <wp:effectExtent l="0" t="0" r="3810" b="3810"/>
            <wp:docPr id="1" name="Immagine 1" descr="http://www.infodata.ilsole24ore.com/wp-content/uploads/sites/82/authors/opendatablo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infodata.ilsole24ore.com/wp-content/uploads/sites/82/authors/opendatablog.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9090" cy="339090"/>
                    </a:xfrm>
                    <a:prstGeom prst="rect">
                      <a:avLst/>
                    </a:prstGeom>
                    <a:noFill/>
                    <a:ln>
                      <a:noFill/>
                    </a:ln>
                  </pic:spPr>
                </pic:pic>
              </a:graphicData>
            </a:graphic>
          </wp:inline>
        </w:drawing>
      </w:r>
      <w:r w:rsidRPr="00FF7BBF">
        <w:rPr>
          <w:rFonts w:ascii="Helvetica" w:eastAsia="Times New Roman" w:hAnsi="Helvetica" w:cs="Helvetica"/>
          <w:color w:val="373737"/>
          <w:sz w:val="16"/>
          <w:szCs w:val="16"/>
          <w:lang w:eastAsia="it-IT"/>
        </w:rPr>
        <w:t> </w:t>
      </w:r>
      <w:r w:rsidRPr="00FF7BBF">
        <w:rPr>
          <w:rFonts w:ascii="Times New Roman" w:eastAsia="Times New Roman" w:hAnsi="Times New Roman" w:cs="Times New Roman"/>
          <w:b/>
          <w:bCs/>
          <w:color w:val="373737"/>
          <w:sz w:val="16"/>
          <w:szCs w:val="16"/>
          <w:lang w:eastAsia="it-IT"/>
        </w:rPr>
        <w:t>scritto da</w:t>
      </w:r>
      <w:r w:rsidRPr="00FF7BBF">
        <w:rPr>
          <w:rFonts w:ascii="Arial" w:eastAsia="Times New Roman" w:hAnsi="Arial" w:cs="Arial"/>
          <w:b/>
          <w:bCs/>
          <w:color w:val="373737"/>
          <w:sz w:val="16"/>
          <w:szCs w:val="16"/>
          <w:vertAlign w:val="superscript"/>
          <w:lang w:eastAsia="it-IT"/>
        </w:rPr>
        <w:t> </w:t>
      </w:r>
      <w:proofErr w:type="spellStart"/>
      <w:r w:rsidRPr="00FF7BBF">
        <w:rPr>
          <w:rFonts w:ascii="Arial" w:eastAsia="Times New Roman" w:hAnsi="Arial" w:cs="Arial"/>
          <w:b/>
          <w:bCs/>
          <w:color w:val="373737"/>
          <w:sz w:val="16"/>
          <w:szCs w:val="16"/>
          <w:vertAlign w:val="superscript"/>
          <w:lang w:eastAsia="it-IT"/>
        </w:rPr>
        <w:t>Infodata</w:t>
      </w:r>
      <w:proofErr w:type="spellEnd"/>
      <w:r w:rsidRPr="00FF7BBF">
        <w:rPr>
          <w:rFonts w:ascii="Times New Roman" w:eastAsia="Times New Roman" w:hAnsi="Times New Roman" w:cs="Times New Roman"/>
          <w:b/>
          <w:bCs/>
          <w:color w:val="373737"/>
          <w:sz w:val="16"/>
          <w:szCs w:val="16"/>
          <w:lang w:eastAsia="it-IT"/>
        </w:rPr>
        <w:t> il 21 Settembre 2015</w:t>
      </w:r>
    </w:p>
    <w:p w:rsidR="00FF4228" w:rsidRPr="00FF7BBF" w:rsidRDefault="00FF4228" w:rsidP="00FF4228">
      <w:pPr>
        <w:shd w:val="clear" w:color="auto" w:fill="F5E5D5"/>
        <w:spacing w:after="0" w:line="240" w:lineRule="auto"/>
        <w:ind w:right="-1"/>
        <w:textAlignment w:val="baseline"/>
        <w:rPr>
          <w:rFonts w:ascii="Century Gothic" w:eastAsia="Times New Roman" w:hAnsi="Century Gothic" w:cs="Times New Roman"/>
          <w:color w:val="000000"/>
          <w:sz w:val="16"/>
          <w:szCs w:val="16"/>
          <w:lang w:eastAsia="it-IT"/>
        </w:rPr>
      </w:pPr>
      <w:r w:rsidRPr="00FF7BBF">
        <w:rPr>
          <w:rFonts w:ascii="Times New Roman" w:eastAsia="Times New Roman" w:hAnsi="Times New Roman" w:cs="Times New Roman"/>
          <w:color w:val="373737"/>
          <w:sz w:val="16"/>
          <w:szCs w:val="16"/>
          <w:lang w:eastAsia="it-IT"/>
        </w:rPr>
        <w:t> </w:t>
      </w:r>
    </w:p>
    <w:p w:rsidR="00FF4228" w:rsidRDefault="00FF4228" w:rsidP="00FF4228">
      <w:pPr>
        <w:spacing w:after="0" w:line="240" w:lineRule="auto"/>
        <w:ind w:right="-1"/>
        <w:textAlignment w:val="baseline"/>
        <w:rPr>
          <w:rFonts w:ascii="Century Gothic" w:eastAsia="Times New Roman" w:hAnsi="Century Gothic" w:cs="Times New Roman"/>
          <w:color w:val="000000"/>
          <w:sz w:val="16"/>
          <w:szCs w:val="16"/>
          <w:lang w:eastAsia="it-IT"/>
        </w:rPr>
      </w:pPr>
      <w:r w:rsidRPr="00FF7BBF">
        <w:rPr>
          <w:rFonts w:ascii="Century Gothic" w:eastAsia="Times New Roman" w:hAnsi="Century Gothic" w:cs="Times New Roman"/>
          <w:color w:val="000000"/>
          <w:sz w:val="16"/>
          <w:szCs w:val="16"/>
          <w:lang w:eastAsia="it-IT"/>
        </w:rPr>
        <w:t>La fine del credit </w:t>
      </w:r>
      <w:proofErr w:type="spellStart"/>
      <w:r w:rsidRPr="00FF7BBF">
        <w:rPr>
          <w:rFonts w:ascii="Century Gothic" w:eastAsia="Times New Roman" w:hAnsi="Century Gothic" w:cs="Times New Roman"/>
          <w:color w:val="000000"/>
          <w:sz w:val="16"/>
          <w:szCs w:val="16"/>
          <w:lang w:eastAsia="it-IT"/>
        </w:rPr>
        <w:t>crunch</w:t>
      </w:r>
      <w:proofErr w:type="spellEnd"/>
      <w:r w:rsidRPr="00FF7BBF">
        <w:rPr>
          <w:rFonts w:ascii="Century Gothic" w:eastAsia="Times New Roman" w:hAnsi="Century Gothic" w:cs="Times New Roman"/>
          <w:color w:val="000000"/>
          <w:sz w:val="16"/>
          <w:szCs w:val="16"/>
          <w:lang w:eastAsia="it-IT"/>
        </w:rPr>
        <w:t> è vicina? È ancora presto per dirlo e dopo quattro anni con il contagocce nei primi mesi del 2015 si inizia a intravedere qualche timido segnale di risveglio del credito alle imprese nel Nord-Est e al Centro. Un dato che secondo Gianfranco </w:t>
      </w:r>
      <w:proofErr w:type="spellStart"/>
      <w:r w:rsidRPr="00FF7BBF">
        <w:rPr>
          <w:rFonts w:ascii="Century Gothic" w:eastAsia="Times New Roman" w:hAnsi="Century Gothic" w:cs="Times New Roman"/>
          <w:color w:val="000000"/>
          <w:sz w:val="16"/>
          <w:szCs w:val="16"/>
          <w:lang w:eastAsia="it-IT"/>
        </w:rPr>
        <w:t>Torriero</w:t>
      </w:r>
      <w:proofErr w:type="spellEnd"/>
      <w:r w:rsidRPr="00FF7BBF">
        <w:rPr>
          <w:rFonts w:ascii="Century Gothic" w:eastAsia="Times New Roman" w:hAnsi="Century Gothic" w:cs="Times New Roman"/>
          <w:color w:val="000000"/>
          <w:sz w:val="16"/>
          <w:szCs w:val="16"/>
          <w:lang w:eastAsia="it-IT"/>
        </w:rPr>
        <w:t xml:space="preserve">, vicedirettore </w:t>
      </w:r>
      <w:proofErr w:type="spellStart"/>
      <w:r w:rsidRPr="00FF7BBF">
        <w:rPr>
          <w:rFonts w:ascii="Century Gothic" w:eastAsia="Times New Roman" w:hAnsi="Century Gothic" w:cs="Times New Roman"/>
          <w:color w:val="000000"/>
          <w:sz w:val="16"/>
          <w:szCs w:val="16"/>
          <w:lang w:eastAsia="it-IT"/>
        </w:rPr>
        <w:t>generaledell’Abi</w:t>
      </w:r>
      <w:proofErr w:type="spellEnd"/>
      <w:r w:rsidRPr="00FF7BBF">
        <w:rPr>
          <w:rFonts w:ascii="Century Gothic" w:eastAsia="Times New Roman" w:hAnsi="Century Gothic" w:cs="Times New Roman"/>
          <w:color w:val="000000"/>
          <w:sz w:val="16"/>
          <w:szCs w:val="16"/>
          <w:lang w:eastAsia="it-IT"/>
        </w:rPr>
        <w:t>, indica che «l’inversione di tendenza è iniziata, il mercato del credito sta ritornando in una fase fisiologica</w:t>
      </w:r>
      <w:r w:rsidRPr="00FF7BBF">
        <w:rPr>
          <w:rFonts w:ascii="Century Gothic" w:eastAsia="Times New Roman" w:hAnsi="Century Gothic" w:cs="Times New Roman"/>
          <w:b/>
          <w:color w:val="000000"/>
          <w:sz w:val="16"/>
          <w:szCs w:val="16"/>
          <w:lang w:eastAsia="it-IT"/>
        </w:rPr>
        <w:t>». Più realista Vincenzo Boccia, presidente del Comitato tecnico Credito e Finanza di Confindustria: «Non siamo ancora in presenza di segnali di rialzo, bensì di fine caduta». E prosegue: «Una risalita dei prestiti si materializzerà nella seconda parte dell’anno, sostenuta dalle recenti misure della Bce. Ma si tratterà di una lenta risalita che si rafforzerà nel 2016, accompagnando il recupero dell’attività economica». Confindustria non si attende, tuttavia, «che si torni né ai livelli, né ai ritmi di crescita del credito osservati nel periodo pre-crisi».</w:t>
      </w:r>
      <w:r w:rsidR="00F27752" w:rsidRPr="00FF7BBF">
        <w:rPr>
          <w:rFonts w:ascii="Century Gothic" w:eastAsia="Times New Roman" w:hAnsi="Century Gothic" w:cs="Times New Roman"/>
          <w:b/>
          <w:color w:val="000000"/>
          <w:sz w:val="16"/>
          <w:szCs w:val="16"/>
          <w:lang w:eastAsia="it-IT"/>
        </w:rPr>
        <w:t xml:space="preserve"> </w:t>
      </w:r>
      <w:r w:rsidRPr="00FF7BBF">
        <w:rPr>
          <w:rFonts w:ascii="Century Gothic" w:eastAsia="Times New Roman" w:hAnsi="Century Gothic" w:cs="Times New Roman"/>
          <w:color w:val="000000"/>
          <w:sz w:val="16"/>
          <w:szCs w:val="16"/>
          <w:lang w:eastAsia="it-IT"/>
        </w:rPr>
        <w:t>Nel primo trimestre 2015 sono stati erogati in Italia finanziamenti alle imprese e alle famiglie per 84.944 milioni di euro (+1,5% sul primo trimestre 2014). Molto positiva la crescita dei finanziamenti erogati nel Nord-Est (+19%), ancora in sofferenza Nord-Ovest e Centro (rispettivamente -9,6% e -2,4%). Calano i tassi di interesse, scesi al 2,06% nel 2015</w:t>
      </w:r>
      <w:r w:rsidR="00F27752" w:rsidRPr="00FF7BBF">
        <w:rPr>
          <w:rFonts w:ascii="Century Gothic" w:eastAsia="Times New Roman" w:hAnsi="Century Gothic" w:cs="Times New Roman"/>
          <w:color w:val="000000"/>
          <w:sz w:val="16"/>
          <w:szCs w:val="16"/>
          <w:lang w:eastAsia="it-IT"/>
        </w:rPr>
        <w:t xml:space="preserve">. </w:t>
      </w:r>
      <w:r w:rsidRPr="00FF7BBF">
        <w:rPr>
          <w:rFonts w:ascii="Century Gothic" w:eastAsia="Times New Roman" w:hAnsi="Century Gothic" w:cs="Times New Roman"/>
          <w:color w:val="000000"/>
          <w:sz w:val="16"/>
          <w:szCs w:val="16"/>
          <w:lang w:eastAsia="it-IT"/>
        </w:rPr>
        <w:t>Tratto da Il Sole 24 ORE del 21/09/2015, pagina 15</w:t>
      </w:r>
      <w:r w:rsidR="00F27752" w:rsidRPr="00FF7BBF">
        <w:rPr>
          <w:rFonts w:ascii="Century Gothic" w:eastAsia="Times New Roman" w:hAnsi="Century Gothic" w:cs="Times New Roman"/>
          <w:color w:val="000000"/>
          <w:sz w:val="16"/>
          <w:szCs w:val="16"/>
          <w:lang w:eastAsia="it-IT"/>
        </w:rPr>
        <w:t>.</w:t>
      </w:r>
    </w:p>
    <w:p w:rsidR="00FF7BBF" w:rsidRDefault="00FF7BBF" w:rsidP="00FF4228">
      <w:pPr>
        <w:spacing w:after="0" w:line="240" w:lineRule="auto"/>
        <w:ind w:right="-1"/>
        <w:textAlignment w:val="baseline"/>
        <w:rPr>
          <w:rFonts w:ascii="Century Gothic" w:eastAsia="Times New Roman" w:hAnsi="Century Gothic" w:cs="Times New Roman"/>
          <w:color w:val="000000"/>
          <w:sz w:val="24"/>
          <w:szCs w:val="24"/>
          <w:lang w:eastAsia="it-IT"/>
        </w:rPr>
      </w:pPr>
      <w:r>
        <w:rPr>
          <w:rFonts w:ascii="Century Gothic" w:eastAsia="Times New Roman" w:hAnsi="Century Gothic" w:cs="Times New Roman"/>
          <w:color w:val="000000"/>
          <w:sz w:val="16"/>
          <w:szCs w:val="16"/>
          <w:lang w:eastAsia="it-IT"/>
        </w:rPr>
        <w:t xml:space="preserve">  </w:t>
      </w:r>
      <w:proofErr w:type="spellStart"/>
      <w:r w:rsidRPr="00FF7BBF">
        <w:rPr>
          <w:rFonts w:ascii="Century Gothic" w:eastAsia="Times New Roman" w:hAnsi="Century Gothic" w:cs="Times New Roman"/>
          <w:color w:val="000000"/>
          <w:sz w:val="24"/>
          <w:szCs w:val="24"/>
          <w:lang w:eastAsia="it-IT"/>
        </w:rPr>
        <w:t>L’Abi</w:t>
      </w:r>
      <w:proofErr w:type="spellEnd"/>
      <w:r w:rsidRPr="00FF7BBF">
        <w:rPr>
          <w:rFonts w:ascii="Century Gothic" w:eastAsia="Times New Roman" w:hAnsi="Century Gothic" w:cs="Times New Roman"/>
          <w:color w:val="000000"/>
          <w:sz w:val="24"/>
          <w:szCs w:val="24"/>
          <w:lang w:eastAsia="it-IT"/>
        </w:rPr>
        <w:t xml:space="preserve"> </w:t>
      </w:r>
      <w:r>
        <w:rPr>
          <w:rFonts w:ascii="Century Gothic" w:eastAsia="Times New Roman" w:hAnsi="Century Gothic" w:cs="Times New Roman"/>
          <w:color w:val="000000"/>
          <w:sz w:val="24"/>
          <w:szCs w:val="24"/>
          <w:lang w:eastAsia="it-IT"/>
        </w:rPr>
        <w:t xml:space="preserve">avrebbe il dovere di fornire i dati sui ‘nuovi’ mutui, separando il mercato delle surroghe, ossia mutui già erogati in precedenza, ma ricontrattati a migliori condizioni e tassi più favorevoli in virtù della legge Bersani, che mette in competizione le banche. </w:t>
      </w:r>
    </w:p>
    <w:p w:rsidR="00FF7BBF" w:rsidRPr="00FF7BBF" w:rsidRDefault="00FF7BBF" w:rsidP="00FF4228">
      <w:pPr>
        <w:spacing w:after="0" w:line="240" w:lineRule="auto"/>
        <w:ind w:right="-1"/>
        <w:textAlignment w:val="baseline"/>
        <w:rPr>
          <w:rFonts w:ascii="Century Gothic" w:eastAsia="Times New Roman" w:hAnsi="Century Gothic" w:cs="Times New Roman"/>
          <w:color w:val="000000"/>
          <w:sz w:val="24"/>
          <w:szCs w:val="24"/>
          <w:lang w:eastAsia="it-IT"/>
        </w:rPr>
      </w:pPr>
      <w:r>
        <w:rPr>
          <w:rFonts w:ascii="Century Gothic" w:eastAsia="Times New Roman" w:hAnsi="Century Gothic" w:cs="Times New Roman"/>
          <w:color w:val="000000"/>
          <w:sz w:val="24"/>
          <w:szCs w:val="24"/>
          <w:lang w:eastAsia="it-IT"/>
        </w:rPr>
        <w:t xml:space="preserve">   L’Italia un grande paese che purtroppo si trova ai primo posti nelle classifiche internazionali per corruzione, agli ultimi per libertà di informazione, ha bisogno di verità, di informazioni chiare e trasparenti, il contrario della propaganda e della gara ad elogiare il </w:t>
      </w:r>
      <w:r w:rsidR="00585BDC">
        <w:rPr>
          <w:rFonts w:ascii="Century Gothic" w:eastAsia="Times New Roman" w:hAnsi="Century Gothic" w:cs="Times New Roman"/>
          <w:color w:val="000000"/>
          <w:sz w:val="24"/>
          <w:szCs w:val="24"/>
          <w:lang w:eastAsia="it-IT"/>
        </w:rPr>
        <w:t>Governo di turno.</w:t>
      </w:r>
      <w:r>
        <w:rPr>
          <w:rFonts w:ascii="Century Gothic" w:eastAsia="Times New Roman" w:hAnsi="Century Gothic" w:cs="Times New Roman"/>
          <w:color w:val="000000"/>
          <w:sz w:val="24"/>
          <w:szCs w:val="24"/>
          <w:lang w:eastAsia="it-IT"/>
        </w:rPr>
        <w:t xml:space="preserve"> </w:t>
      </w:r>
    </w:p>
    <w:p w:rsidR="00FF7BBF" w:rsidRPr="00FF7BBF" w:rsidRDefault="00FF7BBF" w:rsidP="00FF4228">
      <w:pPr>
        <w:spacing w:after="0" w:line="240" w:lineRule="auto"/>
        <w:ind w:right="-1"/>
        <w:textAlignment w:val="baseline"/>
        <w:rPr>
          <w:rFonts w:ascii="Century Gothic" w:eastAsia="Times New Roman" w:hAnsi="Century Gothic" w:cs="Times New Roman"/>
          <w:color w:val="000000"/>
          <w:sz w:val="16"/>
          <w:szCs w:val="16"/>
          <w:lang w:eastAsia="it-IT"/>
        </w:rPr>
      </w:pPr>
    </w:p>
    <w:p w:rsidR="009B5E7D" w:rsidRPr="00585BDC" w:rsidRDefault="00FF7BBF" w:rsidP="00FF4228">
      <w:pPr>
        <w:spacing w:after="0" w:line="240" w:lineRule="auto"/>
        <w:rPr>
          <w:rFonts w:ascii="Century Gothic" w:eastAsia="Times New Roman" w:hAnsi="Century Gothic" w:cs="Times New Roman"/>
          <w:color w:val="000000"/>
          <w:sz w:val="24"/>
          <w:szCs w:val="24"/>
          <w:lang w:eastAsia="it-IT"/>
        </w:rPr>
      </w:pPr>
      <w:r w:rsidRPr="00585BDC">
        <w:rPr>
          <w:rFonts w:ascii="Century Gothic" w:eastAsia="Times New Roman" w:hAnsi="Century Gothic" w:cs="Times New Roman"/>
          <w:color w:val="000000"/>
          <w:sz w:val="24"/>
          <w:szCs w:val="24"/>
          <w:lang w:eastAsia="it-IT"/>
        </w:rPr>
        <w:t xml:space="preserve">                                       Elio Lannutti (Adusbef) - Rosario Trefiletti (Federconsumatori)</w:t>
      </w:r>
    </w:p>
    <w:p w:rsidR="00FF7BBF" w:rsidRPr="00585BDC" w:rsidRDefault="00FF7BBF" w:rsidP="00FF4228">
      <w:pPr>
        <w:spacing w:after="0" w:line="240" w:lineRule="auto"/>
        <w:rPr>
          <w:rFonts w:ascii="Century Gothic" w:eastAsia="Times New Roman" w:hAnsi="Century Gothic" w:cs="Times New Roman"/>
          <w:color w:val="000000"/>
          <w:sz w:val="24"/>
          <w:szCs w:val="24"/>
          <w:lang w:eastAsia="it-IT"/>
        </w:rPr>
      </w:pPr>
      <w:r w:rsidRPr="00585BDC">
        <w:rPr>
          <w:rFonts w:ascii="Century Gothic" w:eastAsia="Times New Roman" w:hAnsi="Century Gothic" w:cs="Times New Roman"/>
          <w:color w:val="000000"/>
          <w:sz w:val="24"/>
          <w:szCs w:val="24"/>
          <w:lang w:eastAsia="it-IT"/>
        </w:rPr>
        <w:t>Roma, 29.9.2015</w:t>
      </w:r>
    </w:p>
    <w:sectPr w:rsidR="00FF7BBF" w:rsidRPr="00585BDC" w:rsidSect="00FF7BBF">
      <w:pgSz w:w="11906" w:h="16838"/>
      <w:pgMar w:top="426"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spaceForUL/>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228"/>
    <w:rsid w:val="000541E9"/>
    <w:rsid w:val="00076B7B"/>
    <w:rsid w:val="000F61A8"/>
    <w:rsid w:val="002757D2"/>
    <w:rsid w:val="00571619"/>
    <w:rsid w:val="00585BDC"/>
    <w:rsid w:val="0093235D"/>
    <w:rsid w:val="00A15AC7"/>
    <w:rsid w:val="00AA2807"/>
    <w:rsid w:val="00D60A67"/>
    <w:rsid w:val="00F157D7"/>
    <w:rsid w:val="00F27752"/>
    <w:rsid w:val="00FF4228"/>
    <w:rsid w:val="00FF7B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15AC7"/>
    <w:rPr>
      <w:color w:val="002060"/>
    </w:rPr>
  </w:style>
  <w:style w:type="paragraph" w:styleId="Titolo2">
    <w:name w:val="heading 2"/>
    <w:basedOn w:val="Normale"/>
    <w:link w:val="Titolo2Carattere"/>
    <w:uiPriority w:val="9"/>
    <w:qFormat/>
    <w:rsid w:val="00FF4228"/>
    <w:pPr>
      <w:spacing w:before="100" w:beforeAutospacing="1" w:after="100" w:afterAutospacing="1" w:line="240" w:lineRule="auto"/>
      <w:jc w:val="left"/>
      <w:outlineLvl w:val="1"/>
    </w:pPr>
    <w:rPr>
      <w:rFonts w:ascii="Times New Roman" w:eastAsia="Times New Roman" w:hAnsi="Times New Roman" w:cs="Times New Roman"/>
      <w:b/>
      <w:bCs/>
      <w:color w:val="auto"/>
      <w:sz w:val="36"/>
      <w:szCs w:val="3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qFormat/>
    <w:rsid w:val="00D60A67"/>
    <w:rPr>
      <w:rFonts w:ascii="Century Gothic" w:eastAsia="Times New Roman" w:hAnsi="Century Gothic" w:cstheme="minorBidi" w:hint="default"/>
      <w:b w:val="0"/>
      <w:bCs w:val="0"/>
      <w:i w:val="0"/>
      <w:iCs w:val="0"/>
      <w:strike w:val="0"/>
      <w:dstrike w:val="0"/>
      <w:color w:val="000066"/>
      <w:sz w:val="28"/>
      <w:szCs w:val="20"/>
      <w:u w:val="none"/>
      <w:effect w:val="none"/>
    </w:rPr>
  </w:style>
  <w:style w:type="character" w:customStyle="1" w:styleId="Titolo2Carattere">
    <w:name w:val="Titolo 2 Carattere"/>
    <w:basedOn w:val="Carpredefinitoparagrafo"/>
    <w:link w:val="Titolo2"/>
    <w:uiPriority w:val="9"/>
    <w:rsid w:val="00FF4228"/>
    <w:rPr>
      <w:rFonts w:ascii="Times New Roman" w:eastAsia="Times New Roman" w:hAnsi="Times New Roman" w:cs="Times New Roman"/>
      <w:b/>
      <w:bCs/>
      <w:sz w:val="36"/>
      <w:szCs w:val="36"/>
      <w:lang w:eastAsia="it-IT"/>
    </w:rPr>
  </w:style>
  <w:style w:type="character" w:customStyle="1" w:styleId="apple-converted-space">
    <w:name w:val="apple-converted-space"/>
    <w:basedOn w:val="Carpredefinitoparagrafo"/>
    <w:rsid w:val="00FF4228"/>
  </w:style>
  <w:style w:type="character" w:customStyle="1" w:styleId="spelle">
    <w:name w:val="spelle"/>
    <w:basedOn w:val="Carpredefinitoparagrafo"/>
    <w:rsid w:val="00FF4228"/>
  </w:style>
  <w:style w:type="paragraph" w:styleId="Testofumetto">
    <w:name w:val="Balloon Text"/>
    <w:basedOn w:val="Normale"/>
    <w:link w:val="TestofumettoCarattere"/>
    <w:uiPriority w:val="99"/>
    <w:semiHidden/>
    <w:unhideWhenUsed/>
    <w:rsid w:val="00FF422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F4228"/>
    <w:rPr>
      <w:rFonts w:ascii="Tahoma" w:hAnsi="Tahoma" w:cs="Tahoma"/>
      <w:color w:val="002060"/>
      <w:sz w:val="16"/>
      <w:szCs w:val="16"/>
    </w:rPr>
  </w:style>
  <w:style w:type="paragraph" w:styleId="Nessunaspaziatura">
    <w:name w:val="No Spacing"/>
    <w:uiPriority w:val="1"/>
    <w:qFormat/>
    <w:rsid w:val="00571619"/>
    <w:pPr>
      <w:spacing w:after="0" w:line="240" w:lineRule="auto"/>
    </w:pPr>
    <w:rPr>
      <w:color w:val="00206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15AC7"/>
    <w:rPr>
      <w:color w:val="002060"/>
    </w:rPr>
  </w:style>
  <w:style w:type="paragraph" w:styleId="Titolo2">
    <w:name w:val="heading 2"/>
    <w:basedOn w:val="Normale"/>
    <w:link w:val="Titolo2Carattere"/>
    <w:uiPriority w:val="9"/>
    <w:qFormat/>
    <w:rsid w:val="00FF4228"/>
    <w:pPr>
      <w:spacing w:before="100" w:beforeAutospacing="1" w:after="100" w:afterAutospacing="1" w:line="240" w:lineRule="auto"/>
      <w:jc w:val="left"/>
      <w:outlineLvl w:val="1"/>
    </w:pPr>
    <w:rPr>
      <w:rFonts w:ascii="Times New Roman" w:eastAsia="Times New Roman" w:hAnsi="Times New Roman" w:cs="Times New Roman"/>
      <w:b/>
      <w:bCs/>
      <w:color w:val="auto"/>
      <w:sz w:val="36"/>
      <w:szCs w:val="3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qFormat/>
    <w:rsid w:val="00D60A67"/>
    <w:rPr>
      <w:rFonts w:ascii="Century Gothic" w:eastAsia="Times New Roman" w:hAnsi="Century Gothic" w:cstheme="minorBidi" w:hint="default"/>
      <w:b w:val="0"/>
      <w:bCs w:val="0"/>
      <w:i w:val="0"/>
      <w:iCs w:val="0"/>
      <w:strike w:val="0"/>
      <w:dstrike w:val="0"/>
      <w:color w:val="000066"/>
      <w:sz w:val="28"/>
      <w:szCs w:val="20"/>
      <w:u w:val="none"/>
      <w:effect w:val="none"/>
    </w:rPr>
  </w:style>
  <w:style w:type="character" w:customStyle="1" w:styleId="Titolo2Carattere">
    <w:name w:val="Titolo 2 Carattere"/>
    <w:basedOn w:val="Carpredefinitoparagrafo"/>
    <w:link w:val="Titolo2"/>
    <w:uiPriority w:val="9"/>
    <w:rsid w:val="00FF4228"/>
    <w:rPr>
      <w:rFonts w:ascii="Times New Roman" w:eastAsia="Times New Roman" w:hAnsi="Times New Roman" w:cs="Times New Roman"/>
      <w:b/>
      <w:bCs/>
      <w:sz w:val="36"/>
      <w:szCs w:val="36"/>
      <w:lang w:eastAsia="it-IT"/>
    </w:rPr>
  </w:style>
  <w:style w:type="character" w:customStyle="1" w:styleId="apple-converted-space">
    <w:name w:val="apple-converted-space"/>
    <w:basedOn w:val="Carpredefinitoparagrafo"/>
    <w:rsid w:val="00FF4228"/>
  </w:style>
  <w:style w:type="character" w:customStyle="1" w:styleId="spelle">
    <w:name w:val="spelle"/>
    <w:basedOn w:val="Carpredefinitoparagrafo"/>
    <w:rsid w:val="00FF4228"/>
  </w:style>
  <w:style w:type="paragraph" w:styleId="Testofumetto">
    <w:name w:val="Balloon Text"/>
    <w:basedOn w:val="Normale"/>
    <w:link w:val="TestofumettoCarattere"/>
    <w:uiPriority w:val="99"/>
    <w:semiHidden/>
    <w:unhideWhenUsed/>
    <w:rsid w:val="00FF422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F4228"/>
    <w:rPr>
      <w:rFonts w:ascii="Tahoma" w:hAnsi="Tahoma" w:cs="Tahoma"/>
      <w:color w:val="002060"/>
      <w:sz w:val="16"/>
      <w:szCs w:val="16"/>
    </w:rPr>
  </w:style>
  <w:style w:type="paragraph" w:styleId="Nessunaspaziatura">
    <w:name w:val="No Spacing"/>
    <w:uiPriority w:val="1"/>
    <w:qFormat/>
    <w:rsid w:val="00571619"/>
    <w:pPr>
      <w:spacing w:after="0" w:line="240" w:lineRule="auto"/>
    </w:pPr>
    <w:rPr>
      <w:color w:val="00206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968828">
      <w:bodyDiv w:val="1"/>
      <w:marLeft w:val="0"/>
      <w:marRight w:val="0"/>
      <w:marTop w:val="0"/>
      <w:marBottom w:val="0"/>
      <w:divBdr>
        <w:top w:val="none" w:sz="0" w:space="0" w:color="auto"/>
        <w:left w:val="none" w:sz="0" w:space="0" w:color="auto"/>
        <w:bottom w:val="none" w:sz="0" w:space="0" w:color="auto"/>
        <w:right w:val="none" w:sz="0" w:space="0" w:color="auto"/>
      </w:divBdr>
    </w:div>
    <w:div w:id="1830902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uronovelli.it/PignattA%20100%20Prestiti%20a%20imprese.%20Ancora%20dati%20contrastanti%20ABI-Bankitalia%2021-9-2015.htm" TargetMode="External"/><Relationship Id="rId3" Type="http://schemas.openxmlformats.org/officeDocument/2006/relationships/settings" Target="settings.xml"/><Relationship Id="rId7" Type="http://schemas.openxmlformats.org/officeDocument/2006/relationships/hyperlink" Target="http://www.mauronovelli.it/PignattA%20100%20Prestiti%20a%20imprese.%20Ancora%20dati%20contrastanti%20ABI-Bankitalia%2021-9-2015.htm"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s://www.bancaditalia.it/media/comunicati/documenti/2015-02/com_stam_ita_20150811.pdf"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ustin">
      <a:maj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3</Pages>
  <Words>917</Words>
  <Characters>5228</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Novelli</dc:creator>
  <cp:keywords/>
  <dc:description/>
  <cp:lastModifiedBy>Elio</cp:lastModifiedBy>
  <cp:revision>2</cp:revision>
  <dcterms:created xsi:type="dcterms:W3CDTF">2015-09-29T08:33:00Z</dcterms:created>
  <dcterms:modified xsi:type="dcterms:W3CDTF">2015-09-29T09:33:00Z</dcterms:modified>
</cp:coreProperties>
</file>