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544" w:rsidRDefault="006F7544" w:rsidP="006F7544">
      <w:pPr>
        <w:spacing w:after="200" w:line="276" w:lineRule="auto"/>
        <w:jc w:val="center"/>
        <w:rPr>
          <w:rFonts w:ascii="Calibri" w:hAnsi="Calibri"/>
          <w:sz w:val="22"/>
          <w:szCs w:val="22"/>
          <w:lang w:eastAsia="en-US"/>
        </w:rPr>
      </w:pPr>
      <w:r>
        <w:rPr>
          <w:rFonts w:ascii="Calibri" w:hAnsi="Calibri"/>
          <w:sz w:val="22"/>
          <w:szCs w:val="22"/>
          <w:lang w:eastAsia="en-US"/>
        </w:rPr>
        <w:t>COMUNICATO STAMPA</w:t>
      </w:r>
    </w:p>
    <w:p w:rsidR="006F7544" w:rsidRDefault="006F7544" w:rsidP="006F7544">
      <w:pPr>
        <w:pStyle w:val="Nessunaspaziatura"/>
        <w:jc w:val="center"/>
        <w:rPr>
          <w:sz w:val="20"/>
          <w:szCs w:val="20"/>
          <w:lang w:eastAsia="en-US"/>
        </w:rPr>
      </w:pPr>
      <w:r>
        <w:rPr>
          <w:sz w:val="20"/>
          <w:szCs w:val="20"/>
          <w:lang w:eastAsia="en-US"/>
        </w:rPr>
        <w:t>LE POLITICHE ECONOMICHE DEL GOVERNO, CONTINUANO A GENERARE DEBITO PUBBLICO, ARRIVATO A 2.184,5 MILIARDI  CON GRAVAME  DI 36.530 EURO PRO-CAPITE, UN AUMENTO DI  77,3 MLD IN 13 MESI,MAGGIORI ONERI OCCULTI  DI 1.293 EURO PER RESIDENTE,91.000 EURO A FAMIGLIA.</w:t>
      </w:r>
    </w:p>
    <w:p w:rsidR="006F7544" w:rsidRDefault="006F7544" w:rsidP="006F7544">
      <w:pPr>
        <w:pStyle w:val="Nessunaspaziatura"/>
        <w:jc w:val="center"/>
        <w:rPr>
          <w:sz w:val="20"/>
          <w:szCs w:val="20"/>
          <w:lang w:eastAsia="en-US"/>
        </w:rPr>
      </w:pPr>
    </w:p>
    <w:p w:rsidR="006F7544" w:rsidRDefault="006F7544" w:rsidP="006F7544">
      <w:pPr>
        <w:pStyle w:val="Nessunaspaziatura"/>
        <w:jc w:val="both"/>
        <w:rPr>
          <w:lang w:eastAsia="en-US"/>
        </w:rPr>
      </w:pPr>
      <w:r>
        <w:rPr>
          <w:lang w:eastAsia="en-US"/>
        </w:rPr>
        <w:t>  Le politiche economiche del Governo, invece di ridurre, come promesso e propagandato il debito pubblico, continuano ad aumentare il debito pubblico arrivato a 2.184,5 miliardi di euro a marzo 2015, con una crescita di 77,34 miliardi dal febbraio 2014 (data di insediamento), al ritmo di circa 6 miliardi di euro al mese.</w:t>
      </w:r>
    </w:p>
    <w:p w:rsidR="006F7544" w:rsidRDefault="006F7544" w:rsidP="006F7544">
      <w:pPr>
        <w:pStyle w:val="Nessunaspaziatura"/>
        <w:jc w:val="both"/>
        <w:rPr>
          <w:lang w:eastAsia="en-US"/>
        </w:rPr>
      </w:pPr>
      <w:r>
        <w:rPr>
          <w:lang w:eastAsia="en-US"/>
        </w:rPr>
        <w:t>    Il debito delle Amministrazioni pubbliche è infatti aumentato a marzo 2015 di ulteriori 15,3 miliardi rispetto a febbraio, polverizzando il precedente massimo storico di 2.169 miliardi toccato a gennaio ben sopra il precedente picco di 2.167,7 miliardi del luglio 2014, con un gravame di 36.530 euro a residente (neonati compresi) e 91.000 euro a famiglia, ipoteca sul futuro dei giovani (già senza speranza perché disoccupati al 43%), con una tassa occulta di 1.293 euro pro-capite.</w:t>
      </w:r>
    </w:p>
    <w:p w:rsidR="006F7544" w:rsidRDefault="006F7544" w:rsidP="006F7544">
      <w:pPr>
        <w:pStyle w:val="Nessunaspaziatura"/>
        <w:jc w:val="both"/>
        <w:rPr>
          <w:lang w:eastAsia="en-US"/>
        </w:rPr>
      </w:pPr>
      <w:r>
        <w:rPr>
          <w:lang w:eastAsia="en-US"/>
        </w:rPr>
        <w:t xml:space="preserve">  Il governo </w:t>
      </w:r>
      <w:proofErr w:type="spellStart"/>
      <w:r>
        <w:rPr>
          <w:lang w:eastAsia="en-US"/>
        </w:rPr>
        <w:t>Renzi</w:t>
      </w:r>
      <w:proofErr w:type="spellEnd"/>
      <w:r>
        <w:rPr>
          <w:lang w:eastAsia="en-US"/>
        </w:rPr>
        <w:t xml:space="preserve"> infatti, partito a fine febbraio 2014 con un debito di 2.107,157 miliardi di euro, dopo 13 mesi ha aumentato il debito a 2.184,5 miliardi, con un surplus di 77,34 miliardi ed un  gravame aggiuntivo pro capite di 1.293 euro, 99 euro al mese di oneri nascosti, oltre tasse e balzelli sulle spalle di ogni abitante. </w:t>
      </w:r>
    </w:p>
    <w:p w:rsidR="006F7544" w:rsidRDefault="006F7544" w:rsidP="006F7544">
      <w:pPr>
        <w:pStyle w:val="Nessunaspaziatura"/>
        <w:jc w:val="both"/>
        <w:rPr>
          <w:lang w:eastAsia="en-US"/>
        </w:rPr>
      </w:pPr>
      <w:r>
        <w:rPr>
          <w:lang w:eastAsia="en-US"/>
        </w:rPr>
        <w:t>   Mentre il Governo cercava di ingannare l’opinione pubblica sul presunto ‘tesoretto’, inventato di sana pianta in deficit modificando l’obiettivo programmatico del rapporto deficit/</w:t>
      </w:r>
      <w:proofErr w:type="spellStart"/>
      <w:r>
        <w:rPr>
          <w:lang w:eastAsia="en-US"/>
        </w:rPr>
        <w:t>Pil</w:t>
      </w:r>
      <w:proofErr w:type="spellEnd"/>
      <w:r>
        <w:rPr>
          <w:lang w:eastAsia="en-US"/>
        </w:rPr>
        <w:t xml:space="preserve"> a 2,6% e un tendenziale di 2,5% (lo 0,1% di </w:t>
      </w:r>
      <w:proofErr w:type="spellStart"/>
      <w:r>
        <w:rPr>
          <w:lang w:eastAsia="en-US"/>
        </w:rPr>
        <w:t>Pil</w:t>
      </w:r>
      <w:proofErr w:type="spellEnd"/>
      <w:r>
        <w:rPr>
          <w:lang w:eastAsia="en-US"/>
        </w:rPr>
        <w:t>), come ‘arma di distrazione di massa’, per occultare la clausola di salvaguardia di rincari Iva ed accise, per 65 miliardi di euro nel triennio 2016- 2018, è arrivata la nuova tegola della Consulta sulle pensioni e sul debito insostenibile.</w:t>
      </w:r>
    </w:p>
    <w:p w:rsidR="006F7544" w:rsidRDefault="006F7544" w:rsidP="006F7544">
      <w:pPr>
        <w:pStyle w:val="Nessunaspaziatura"/>
        <w:jc w:val="both"/>
        <w:rPr>
          <w:lang w:eastAsia="en-US"/>
        </w:rPr>
      </w:pPr>
      <w:r>
        <w:rPr>
          <w:lang w:eastAsia="en-US"/>
        </w:rPr>
        <w:t xml:space="preserve">    Invece di basare il bilancio su tagli aleatori difficilmente realizzabili, che per quest’anno vede affidati 5,2 miliardi di risparmi alla trattativa con gli enti locali, 3,3 miliardi di lotta all’evasione, 1,7 miliardi di </w:t>
      </w:r>
      <w:r>
        <w:rPr>
          <w:i/>
          <w:iCs/>
          <w:lang w:eastAsia="en-US"/>
        </w:rPr>
        <w:t xml:space="preserve">split </w:t>
      </w:r>
      <w:proofErr w:type="spellStart"/>
      <w:r>
        <w:rPr>
          <w:i/>
          <w:iCs/>
          <w:lang w:eastAsia="en-US"/>
        </w:rPr>
        <w:t>payment</w:t>
      </w:r>
      <w:proofErr w:type="spellEnd"/>
      <w:r>
        <w:rPr>
          <w:i/>
          <w:iCs/>
          <w:lang w:eastAsia="en-US"/>
        </w:rPr>
        <w:t xml:space="preserve">/reverse </w:t>
      </w:r>
      <w:proofErr w:type="spellStart"/>
      <w:r>
        <w:rPr>
          <w:i/>
          <w:iCs/>
          <w:lang w:eastAsia="en-US"/>
        </w:rPr>
        <w:t>charge</w:t>
      </w:r>
      <w:proofErr w:type="spellEnd"/>
      <w:r>
        <w:rPr>
          <w:lang w:eastAsia="en-US"/>
        </w:rPr>
        <w:t xml:space="preserve"> (senza contare la bocciatura della riforma Fornero sulle pensioni della Corte costituzionale), se vuole riacquisire serietà, il Governo avrebbe l’obbligo di varare un piano quinquennale di vendita di oro e riserve di </w:t>
      </w:r>
      <w:proofErr w:type="spellStart"/>
      <w:r>
        <w:rPr>
          <w:lang w:eastAsia="en-US"/>
        </w:rPr>
        <w:t>Bankitalia</w:t>
      </w:r>
      <w:proofErr w:type="spellEnd"/>
      <w:r>
        <w:rPr>
          <w:lang w:eastAsia="en-US"/>
        </w:rPr>
        <w:t>, per ridurre il debito pubblico ed alleviare il gravame fiscale sulle famiglie ed i consumatori.</w:t>
      </w:r>
    </w:p>
    <w:p w:rsidR="006F7544" w:rsidRDefault="006F7544" w:rsidP="006F7544">
      <w:pPr>
        <w:spacing w:after="200" w:line="276" w:lineRule="auto"/>
        <w:jc w:val="center"/>
        <w:rPr>
          <w:rFonts w:ascii="Calibri" w:hAnsi="Calibri"/>
          <w:b/>
          <w:bCs/>
          <w:lang w:eastAsia="en-US"/>
        </w:rPr>
      </w:pPr>
    </w:p>
    <w:p w:rsidR="006F7544" w:rsidRDefault="006F7544" w:rsidP="006F7544">
      <w:pPr>
        <w:spacing w:after="200" w:line="276" w:lineRule="auto"/>
        <w:jc w:val="center"/>
        <w:rPr>
          <w:rFonts w:ascii="Calibri" w:hAnsi="Calibri"/>
          <w:b/>
          <w:bCs/>
          <w:lang w:eastAsia="en-US"/>
        </w:rPr>
      </w:pPr>
      <w:r>
        <w:rPr>
          <w:rFonts w:ascii="Calibri" w:hAnsi="Calibri"/>
          <w:b/>
          <w:bCs/>
          <w:lang w:eastAsia="en-US"/>
        </w:rPr>
        <w:t>DEBITO PUBBLICO E ULTIMI DUE GOVERNI DELLA REPUBBLICA (PRESIDENTI CDM LETTA E RENZI)</w:t>
      </w:r>
    </w:p>
    <w:p w:rsidR="006F7544" w:rsidRDefault="006F7544" w:rsidP="006F7544">
      <w:pPr>
        <w:spacing w:after="200" w:line="276" w:lineRule="auto"/>
        <w:jc w:val="center"/>
        <w:rPr>
          <w:rFonts w:ascii="Calibri" w:hAnsi="Calibri"/>
          <w:sz w:val="28"/>
          <w:szCs w:val="28"/>
          <w:lang w:eastAsia="en-US"/>
        </w:rPr>
      </w:pPr>
      <w:r>
        <w:rPr>
          <w:rFonts w:ascii="Calibri" w:hAnsi="Calibri"/>
          <w:sz w:val="28"/>
          <w:szCs w:val="28"/>
          <w:lang w:eastAsia="en-US"/>
        </w:rPr>
        <w:t xml:space="preserve">Fonte </w:t>
      </w:r>
      <w:proofErr w:type="spellStart"/>
      <w:r>
        <w:rPr>
          <w:rFonts w:ascii="Calibri" w:hAnsi="Calibri"/>
          <w:sz w:val="28"/>
          <w:szCs w:val="28"/>
          <w:lang w:eastAsia="en-US"/>
        </w:rPr>
        <w:t>Bankitalia</w:t>
      </w:r>
      <w:proofErr w:type="spellEnd"/>
      <w:r>
        <w:rPr>
          <w:rFonts w:ascii="Calibri" w:hAnsi="Calibri"/>
          <w:sz w:val="28"/>
          <w:szCs w:val="28"/>
          <w:lang w:eastAsia="en-US"/>
        </w:rPr>
        <w:t xml:space="preserve"> SBS “Finanza pubblica” n° 5 del 14-5-2015. Nostre elaborazioni</w:t>
      </w:r>
    </w:p>
    <w:tbl>
      <w:tblPr>
        <w:tblW w:w="5089" w:type="pct"/>
        <w:jc w:val="center"/>
        <w:tblInd w:w="-176" w:type="dxa"/>
        <w:tblCellMar>
          <w:left w:w="0" w:type="dxa"/>
          <w:right w:w="0" w:type="dxa"/>
        </w:tblCellMar>
        <w:tblLook w:val="04A0" w:firstRow="1" w:lastRow="0" w:firstColumn="1" w:lastColumn="0" w:noHBand="0" w:noVBand="1"/>
      </w:tblPr>
      <w:tblGrid>
        <w:gridCol w:w="3711"/>
        <w:gridCol w:w="1328"/>
        <w:gridCol w:w="2583"/>
        <w:gridCol w:w="1260"/>
        <w:gridCol w:w="1147"/>
      </w:tblGrid>
      <w:tr w:rsidR="006F7544" w:rsidTr="006F7544">
        <w:trPr>
          <w:trHeight w:val="483"/>
          <w:jc w:val="center"/>
        </w:trPr>
        <w:tc>
          <w:tcPr>
            <w:tcW w:w="18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F7544" w:rsidRDefault="006F7544">
            <w:pPr>
              <w:spacing w:line="276" w:lineRule="auto"/>
              <w:jc w:val="center"/>
              <w:rPr>
                <w:b/>
                <w:bCs/>
                <w:sz w:val="18"/>
                <w:szCs w:val="18"/>
                <w:lang w:eastAsia="en-US"/>
              </w:rPr>
            </w:pPr>
          </w:p>
        </w:tc>
        <w:tc>
          <w:tcPr>
            <w:tcW w:w="6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7544" w:rsidRDefault="006F7544">
            <w:pPr>
              <w:spacing w:line="276" w:lineRule="auto"/>
              <w:jc w:val="center"/>
              <w:rPr>
                <w:sz w:val="18"/>
                <w:szCs w:val="18"/>
                <w:lang w:eastAsia="en-US"/>
              </w:rPr>
            </w:pPr>
            <w:r>
              <w:rPr>
                <w:rFonts w:ascii="Calibri" w:hAnsi="Calibri"/>
                <w:b/>
                <w:bCs/>
                <w:sz w:val="18"/>
                <w:szCs w:val="18"/>
                <w:lang w:eastAsia="en-US"/>
              </w:rPr>
              <w:t>DEBITO PUBBLICO</w:t>
            </w:r>
          </w:p>
          <w:p w:rsidR="006F7544" w:rsidRDefault="006F7544">
            <w:pPr>
              <w:spacing w:line="276" w:lineRule="auto"/>
              <w:jc w:val="center"/>
              <w:rPr>
                <w:sz w:val="18"/>
                <w:szCs w:val="18"/>
                <w:lang w:eastAsia="en-US"/>
              </w:rPr>
            </w:pPr>
            <w:r>
              <w:rPr>
                <w:rFonts w:ascii="Calibri" w:hAnsi="Calibri"/>
                <w:b/>
                <w:bCs/>
                <w:sz w:val="18"/>
                <w:szCs w:val="18"/>
                <w:lang w:eastAsia="en-US"/>
              </w:rPr>
              <w:t>In miliardi di €</w:t>
            </w:r>
          </w:p>
        </w:tc>
        <w:tc>
          <w:tcPr>
            <w:tcW w:w="128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7544" w:rsidRDefault="006F7544">
            <w:pPr>
              <w:spacing w:line="276" w:lineRule="auto"/>
              <w:jc w:val="center"/>
              <w:rPr>
                <w:sz w:val="18"/>
                <w:szCs w:val="18"/>
                <w:lang w:eastAsia="en-US"/>
              </w:rPr>
            </w:pPr>
            <w:r>
              <w:rPr>
                <w:rFonts w:ascii="Calibri" w:hAnsi="Calibri"/>
                <w:b/>
                <w:bCs/>
                <w:sz w:val="18"/>
                <w:szCs w:val="18"/>
                <w:lang w:eastAsia="en-US"/>
              </w:rPr>
              <w:t>AUMENTO del DEBITO in miliardi (in parentesi l’aumento medio mensile)</w:t>
            </w:r>
          </w:p>
        </w:tc>
        <w:tc>
          <w:tcPr>
            <w:tcW w:w="62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7544" w:rsidRDefault="006F7544">
            <w:pPr>
              <w:spacing w:line="276" w:lineRule="auto"/>
              <w:jc w:val="center"/>
              <w:rPr>
                <w:b/>
                <w:bCs/>
                <w:sz w:val="18"/>
                <w:szCs w:val="18"/>
                <w:lang w:eastAsia="en-US"/>
              </w:rPr>
            </w:pPr>
            <w:r>
              <w:rPr>
                <w:rFonts w:ascii="Calibri" w:hAnsi="Calibri"/>
                <w:b/>
                <w:bCs/>
                <w:sz w:val="18"/>
                <w:szCs w:val="18"/>
                <w:lang w:eastAsia="en-US"/>
              </w:rPr>
              <w:t>Debito pro capite a fine mandato in €</w:t>
            </w:r>
          </w:p>
        </w:tc>
        <w:tc>
          <w:tcPr>
            <w:tcW w:w="57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7544" w:rsidRDefault="006F7544">
            <w:pPr>
              <w:spacing w:line="276" w:lineRule="auto"/>
              <w:jc w:val="center"/>
              <w:rPr>
                <w:b/>
                <w:bCs/>
                <w:sz w:val="18"/>
                <w:szCs w:val="18"/>
                <w:lang w:eastAsia="en-US"/>
              </w:rPr>
            </w:pPr>
            <w:r>
              <w:rPr>
                <w:rFonts w:ascii="Calibri" w:hAnsi="Calibri"/>
                <w:b/>
                <w:bCs/>
                <w:sz w:val="18"/>
                <w:szCs w:val="18"/>
                <w:lang w:eastAsia="en-US"/>
              </w:rPr>
              <w:t>Maggior debito pro capite in €</w:t>
            </w:r>
          </w:p>
        </w:tc>
      </w:tr>
      <w:tr w:rsidR="006F7544" w:rsidTr="006F7544">
        <w:trPr>
          <w:jc w:val="center"/>
        </w:trPr>
        <w:tc>
          <w:tcPr>
            <w:tcW w:w="18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both"/>
              <w:rPr>
                <w:b/>
                <w:bCs/>
                <w:sz w:val="18"/>
                <w:szCs w:val="18"/>
                <w:lang w:eastAsia="en-US"/>
              </w:rPr>
            </w:pPr>
            <w:r>
              <w:rPr>
                <w:rFonts w:ascii="Calibri" w:hAnsi="Calibri"/>
                <w:b/>
                <w:bCs/>
                <w:sz w:val="18"/>
                <w:szCs w:val="18"/>
                <w:lang w:eastAsia="en-US"/>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both"/>
              <w:rPr>
                <w:sz w:val="18"/>
                <w:szCs w:val="18"/>
                <w:lang w:eastAsia="en-US"/>
              </w:rPr>
            </w:pPr>
            <w:r>
              <w:rPr>
                <w:rFonts w:ascii="Calibri" w:hAnsi="Calibri"/>
                <w:sz w:val="18"/>
                <w:szCs w:val="18"/>
                <w:lang w:eastAsia="en-US"/>
              </w:rPr>
              <w:t> </w:t>
            </w:r>
          </w:p>
        </w:tc>
        <w:tc>
          <w:tcPr>
            <w:tcW w:w="1288"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both"/>
              <w:rPr>
                <w:sz w:val="18"/>
                <w:szCs w:val="18"/>
                <w:lang w:eastAsia="en-US"/>
              </w:rPr>
            </w:pPr>
            <w:r>
              <w:rPr>
                <w:rFonts w:ascii="Calibri" w:hAnsi="Calibri"/>
                <w:sz w:val="18"/>
                <w:szCs w:val="18"/>
                <w:lang w:eastAsia="en-US"/>
              </w:rPr>
              <w:t> </w:t>
            </w:r>
          </w:p>
        </w:tc>
        <w:tc>
          <w:tcPr>
            <w:tcW w:w="628"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sz w:val="18"/>
                <w:szCs w:val="18"/>
                <w:lang w:eastAsia="en-US"/>
              </w:rPr>
            </w:pPr>
          </w:p>
        </w:tc>
        <w:tc>
          <w:tcPr>
            <w:tcW w:w="57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6F7544" w:rsidRDefault="006F7544">
            <w:pPr>
              <w:spacing w:before="100" w:beforeAutospacing="1" w:after="100" w:afterAutospacing="1" w:line="276" w:lineRule="auto"/>
              <w:jc w:val="both"/>
              <w:rPr>
                <w:rFonts w:ascii="Calibri" w:hAnsi="Calibri"/>
                <w:b/>
                <w:bCs/>
                <w:sz w:val="18"/>
                <w:szCs w:val="18"/>
                <w:lang w:eastAsia="en-US"/>
              </w:rPr>
            </w:pPr>
            <w:r>
              <w:rPr>
                <w:rFonts w:ascii="Calibri" w:hAnsi="Calibri"/>
                <w:b/>
                <w:bCs/>
                <w:sz w:val="18"/>
                <w:szCs w:val="18"/>
                <w:lang w:eastAsia="en-US"/>
              </w:rPr>
              <w:t>GOVERNO LETTA  (da fine aprile 2013)  (10 mesi)</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both"/>
              <w:rPr>
                <w:rFonts w:ascii="Century Gothic" w:hAnsi="Century Gothic"/>
                <w:sz w:val="18"/>
                <w:szCs w:val="18"/>
                <w:lang w:eastAsia="en-US"/>
              </w:rPr>
            </w:pPr>
          </w:p>
        </w:tc>
        <w:tc>
          <w:tcPr>
            <w:tcW w:w="1288"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ind w:right="-160"/>
              <w:jc w:val="both"/>
              <w:rPr>
                <w:rFonts w:ascii="Century Gothic" w:hAnsi="Century Gothic"/>
                <w:sz w:val="18"/>
                <w:szCs w:val="18"/>
                <w:lang w:eastAsia="en-US"/>
              </w:rPr>
            </w:pPr>
          </w:p>
        </w:tc>
        <w:tc>
          <w:tcPr>
            <w:tcW w:w="628"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c>
          <w:tcPr>
            <w:tcW w:w="57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6F7544" w:rsidRDefault="006F7544">
            <w:pPr>
              <w:spacing w:before="100" w:beforeAutospacing="1" w:after="100" w:afterAutospacing="1" w:line="276" w:lineRule="auto"/>
              <w:jc w:val="both"/>
              <w:rPr>
                <w:rFonts w:ascii="Calibri" w:hAnsi="Calibri"/>
                <w:b/>
                <w:bCs/>
                <w:sz w:val="18"/>
                <w:szCs w:val="18"/>
                <w:lang w:eastAsia="en-US"/>
              </w:rPr>
            </w:pPr>
            <w:r>
              <w:rPr>
                <w:rFonts w:ascii="Calibri" w:hAnsi="Calibri"/>
                <w:b/>
                <w:bCs/>
                <w:sz w:val="18"/>
                <w:szCs w:val="18"/>
                <w:lang w:eastAsia="en-US"/>
              </w:rPr>
              <w:t>Debito aprile 2013</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both"/>
              <w:rPr>
                <w:rFonts w:ascii="Century Gothic" w:hAnsi="Century Gothic"/>
                <w:sz w:val="18"/>
                <w:szCs w:val="18"/>
                <w:lang w:eastAsia="en-US"/>
              </w:rPr>
            </w:pPr>
            <w:r>
              <w:rPr>
                <w:rFonts w:ascii="Century Gothic" w:hAnsi="Century Gothic"/>
                <w:sz w:val="18"/>
                <w:szCs w:val="18"/>
                <w:lang w:eastAsia="en-US"/>
              </w:rPr>
              <w:t>2.041,293</w:t>
            </w:r>
          </w:p>
        </w:tc>
        <w:tc>
          <w:tcPr>
            <w:tcW w:w="1288"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ind w:right="-160"/>
              <w:jc w:val="center"/>
              <w:rPr>
                <w:rFonts w:ascii="Century Gothic" w:hAnsi="Century Gothic"/>
                <w:sz w:val="18"/>
                <w:szCs w:val="18"/>
                <w:lang w:eastAsia="en-US"/>
              </w:rPr>
            </w:pPr>
          </w:p>
        </w:tc>
        <w:tc>
          <w:tcPr>
            <w:tcW w:w="628"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c>
          <w:tcPr>
            <w:tcW w:w="57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6F7544" w:rsidRDefault="006F7544">
            <w:pPr>
              <w:spacing w:before="100" w:beforeAutospacing="1" w:after="100" w:afterAutospacing="1" w:line="276" w:lineRule="auto"/>
              <w:jc w:val="both"/>
              <w:rPr>
                <w:rFonts w:ascii="Calibri" w:hAnsi="Calibri"/>
                <w:b/>
                <w:bCs/>
                <w:sz w:val="18"/>
                <w:szCs w:val="18"/>
                <w:lang w:eastAsia="en-US"/>
              </w:rPr>
            </w:pPr>
            <w:r>
              <w:rPr>
                <w:rFonts w:ascii="Calibri" w:hAnsi="Calibri"/>
                <w:b/>
                <w:bCs/>
                <w:sz w:val="18"/>
                <w:szCs w:val="18"/>
                <w:lang w:eastAsia="en-US"/>
              </w:rPr>
              <w:t>Debito Febbraio 2014</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both"/>
              <w:rPr>
                <w:rFonts w:ascii="Century Gothic" w:hAnsi="Century Gothic"/>
                <w:sz w:val="18"/>
                <w:szCs w:val="18"/>
                <w:lang w:eastAsia="en-US"/>
              </w:rPr>
            </w:pPr>
            <w:r>
              <w:rPr>
                <w:rFonts w:ascii="Century Gothic" w:hAnsi="Century Gothic"/>
                <w:sz w:val="18"/>
                <w:szCs w:val="18"/>
                <w:lang w:eastAsia="en-US"/>
              </w:rPr>
              <w:t>2.107,157</w:t>
            </w:r>
          </w:p>
        </w:tc>
        <w:tc>
          <w:tcPr>
            <w:tcW w:w="1288"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ind w:right="-160"/>
              <w:jc w:val="both"/>
              <w:rPr>
                <w:rFonts w:ascii="Century Gothic" w:hAnsi="Century Gothic"/>
                <w:sz w:val="18"/>
                <w:szCs w:val="18"/>
                <w:lang w:eastAsia="en-US"/>
              </w:rPr>
            </w:pPr>
            <w:r>
              <w:rPr>
                <w:rFonts w:ascii="Century Gothic" w:hAnsi="Century Gothic"/>
                <w:sz w:val="18"/>
                <w:szCs w:val="18"/>
                <w:lang w:eastAsia="en-US"/>
              </w:rPr>
              <w:t xml:space="preserve">+65,864 </w:t>
            </w:r>
            <w:proofErr w:type="spellStart"/>
            <w:r>
              <w:rPr>
                <w:rFonts w:ascii="Century Gothic" w:hAnsi="Century Gothic"/>
                <w:sz w:val="18"/>
                <w:szCs w:val="18"/>
                <w:lang w:eastAsia="en-US"/>
              </w:rPr>
              <w:t>mld</w:t>
            </w:r>
            <w:proofErr w:type="spellEnd"/>
            <w:r>
              <w:rPr>
                <w:rFonts w:ascii="Century Gothic" w:hAnsi="Century Gothic"/>
                <w:sz w:val="18"/>
                <w:szCs w:val="18"/>
                <w:lang w:eastAsia="en-US"/>
              </w:rPr>
              <w:t xml:space="preserve"> </w:t>
            </w:r>
            <w:r>
              <w:rPr>
                <w:rFonts w:ascii="Century Gothic" w:hAnsi="Century Gothic"/>
                <w:b/>
                <w:bCs/>
                <w:sz w:val="18"/>
                <w:szCs w:val="18"/>
                <w:lang w:eastAsia="en-US"/>
              </w:rPr>
              <w:t xml:space="preserve">(6,5  </w:t>
            </w:r>
            <w:proofErr w:type="spellStart"/>
            <w:r>
              <w:rPr>
                <w:rFonts w:ascii="Century Gothic" w:hAnsi="Century Gothic"/>
                <w:b/>
                <w:bCs/>
                <w:sz w:val="18"/>
                <w:szCs w:val="18"/>
                <w:lang w:eastAsia="en-US"/>
              </w:rPr>
              <w:t>mld</w:t>
            </w:r>
            <w:proofErr w:type="spellEnd"/>
            <w:r>
              <w:rPr>
                <w:rFonts w:ascii="Century Gothic" w:hAnsi="Century Gothic"/>
                <w:b/>
                <w:bCs/>
                <w:sz w:val="18"/>
                <w:szCs w:val="18"/>
                <w:lang w:eastAsia="en-US"/>
              </w:rPr>
              <w:t>/mese)</w:t>
            </w:r>
          </w:p>
        </w:tc>
        <w:tc>
          <w:tcPr>
            <w:tcW w:w="628"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right"/>
              <w:rPr>
                <w:rFonts w:ascii="Calibri" w:hAnsi="Calibri"/>
                <w:sz w:val="18"/>
                <w:szCs w:val="18"/>
                <w:lang w:eastAsia="en-US"/>
              </w:rPr>
            </w:pPr>
            <w:r>
              <w:rPr>
                <w:rFonts w:ascii="Calibri" w:hAnsi="Calibri"/>
                <w:sz w:val="18"/>
                <w:szCs w:val="18"/>
                <w:lang w:eastAsia="en-US"/>
              </w:rPr>
              <w:t>35.354</w:t>
            </w:r>
          </w:p>
        </w:tc>
        <w:tc>
          <w:tcPr>
            <w:tcW w:w="572"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right"/>
              <w:rPr>
                <w:rFonts w:ascii="Calibri" w:hAnsi="Calibri"/>
                <w:sz w:val="18"/>
                <w:szCs w:val="18"/>
                <w:lang w:eastAsia="en-US"/>
              </w:rPr>
            </w:pPr>
            <w:r>
              <w:rPr>
                <w:rFonts w:ascii="Calibri" w:hAnsi="Calibri"/>
                <w:sz w:val="18"/>
                <w:szCs w:val="18"/>
                <w:lang w:eastAsia="en-US"/>
              </w:rPr>
              <w:t>+ 1.105</w:t>
            </w: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6F7544" w:rsidRDefault="006F7544">
            <w:pPr>
              <w:spacing w:before="100" w:beforeAutospacing="1" w:after="100" w:afterAutospacing="1" w:line="276" w:lineRule="auto"/>
              <w:jc w:val="both"/>
              <w:rPr>
                <w:rFonts w:ascii="Calibri" w:hAnsi="Calibri"/>
                <w:b/>
                <w:bCs/>
                <w:sz w:val="18"/>
                <w:szCs w:val="18"/>
                <w:lang w:eastAsia="en-US"/>
              </w:rPr>
            </w:pPr>
          </w:p>
        </w:tc>
        <w:tc>
          <w:tcPr>
            <w:tcW w:w="6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F7544" w:rsidRDefault="006F7544">
            <w:pPr>
              <w:spacing w:before="100" w:beforeAutospacing="1" w:after="100" w:afterAutospacing="1" w:line="276" w:lineRule="auto"/>
              <w:jc w:val="both"/>
              <w:rPr>
                <w:rFonts w:ascii="Century Gothic" w:hAnsi="Century Gothic"/>
                <w:sz w:val="18"/>
                <w:szCs w:val="18"/>
                <w:lang w:eastAsia="en-US"/>
              </w:rPr>
            </w:pPr>
          </w:p>
        </w:tc>
        <w:tc>
          <w:tcPr>
            <w:tcW w:w="12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F7544" w:rsidRDefault="006F7544">
            <w:pPr>
              <w:spacing w:before="100" w:beforeAutospacing="1" w:after="100" w:afterAutospacing="1" w:line="276" w:lineRule="auto"/>
              <w:ind w:right="-160"/>
              <w:jc w:val="both"/>
              <w:rPr>
                <w:rFonts w:ascii="Century Gothic" w:hAnsi="Century Gothic"/>
                <w:sz w:val="18"/>
                <w:szCs w:val="18"/>
                <w:lang w:eastAsia="en-US"/>
              </w:rPr>
            </w:pPr>
          </w:p>
        </w:tc>
        <w:tc>
          <w:tcPr>
            <w:tcW w:w="62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c>
          <w:tcPr>
            <w:tcW w:w="57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vAlign w:val="center"/>
            <w:hideMark/>
          </w:tcPr>
          <w:p w:rsidR="006F7544" w:rsidRDefault="006F7544">
            <w:pPr>
              <w:spacing w:line="276" w:lineRule="auto"/>
              <w:jc w:val="both"/>
              <w:rPr>
                <w:rFonts w:ascii="Calibri" w:hAnsi="Calibri"/>
                <w:sz w:val="18"/>
                <w:szCs w:val="18"/>
                <w:lang w:eastAsia="en-US"/>
              </w:rPr>
            </w:pPr>
            <w:r>
              <w:rPr>
                <w:rFonts w:ascii="Calibri" w:hAnsi="Calibri"/>
                <w:b/>
                <w:bCs/>
                <w:sz w:val="18"/>
                <w:szCs w:val="18"/>
                <w:lang w:eastAsia="en-US"/>
              </w:rPr>
              <w:t>GOVERNO RENZI (febbraio 2014- 12 mesi)</w:t>
            </w:r>
          </w:p>
        </w:tc>
        <w:tc>
          <w:tcPr>
            <w:tcW w:w="6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 </w:t>
            </w:r>
          </w:p>
        </w:tc>
        <w:tc>
          <w:tcPr>
            <w:tcW w:w="12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ind w:right="202"/>
              <w:jc w:val="right"/>
              <w:rPr>
                <w:rFonts w:ascii="Calibri" w:hAnsi="Calibri"/>
                <w:sz w:val="18"/>
                <w:szCs w:val="18"/>
                <w:lang w:eastAsia="en-US"/>
              </w:rPr>
            </w:pPr>
            <w:r>
              <w:rPr>
                <w:rFonts w:ascii="Calibri" w:hAnsi="Calibri"/>
                <w:sz w:val="18"/>
                <w:szCs w:val="18"/>
                <w:lang w:eastAsia="en-US"/>
              </w:rPr>
              <w:t> </w:t>
            </w:r>
          </w:p>
        </w:tc>
        <w:tc>
          <w:tcPr>
            <w:tcW w:w="62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 </w:t>
            </w:r>
          </w:p>
        </w:tc>
        <w:tc>
          <w:tcPr>
            <w:tcW w:w="57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vAlign w:val="center"/>
            <w:hideMark/>
          </w:tcPr>
          <w:p w:rsidR="006F7544" w:rsidRDefault="006F7544">
            <w:pPr>
              <w:spacing w:line="276" w:lineRule="auto"/>
              <w:jc w:val="both"/>
              <w:rPr>
                <w:rFonts w:ascii="Calibri" w:hAnsi="Calibri"/>
                <w:sz w:val="18"/>
                <w:szCs w:val="18"/>
                <w:lang w:eastAsia="en-US"/>
              </w:rPr>
            </w:pPr>
            <w:r>
              <w:rPr>
                <w:rFonts w:ascii="Calibri" w:hAnsi="Calibri"/>
                <w:b/>
                <w:bCs/>
                <w:sz w:val="18"/>
                <w:szCs w:val="18"/>
                <w:lang w:eastAsia="en-US"/>
              </w:rPr>
              <w:t>Debito febbraio 2014</w:t>
            </w:r>
          </w:p>
        </w:tc>
        <w:tc>
          <w:tcPr>
            <w:tcW w:w="6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2.107,157</w:t>
            </w:r>
          </w:p>
        </w:tc>
        <w:tc>
          <w:tcPr>
            <w:tcW w:w="12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ind w:right="202"/>
              <w:jc w:val="right"/>
              <w:rPr>
                <w:rFonts w:ascii="Calibri" w:hAnsi="Calibri"/>
                <w:sz w:val="18"/>
                <w:szCs w:val="18"/>
                <w:lang w:eastAsia="en-US"/>
              </w:rPr>
            </w:pPr>
            <w:r>
              <w:rPr>
                <w:rFonts w:ascii="Calibri" w:hAnsi="Calibri"/>
                <w:sz w:val="18"/>
                <w:szCs w:val="18"/>
                <w:lang w:eastAsia="en-US"/>
              </w:rPr>
              <w:t> </w:t>
            </w:r>
          </w:p>
        </w:tc>
        <w:tc>
          <w:tcPr>
            <w:tcW w:w="62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 </w:t>
            </w:r>
          </w:p>
        </w:tc>
        <w:tc>
          <w:tcPr>
            <w:tcW w:w="572" w:type="pct"/>
            <w:tcBorders>
              <w:top w:val="nil"/>
              <w:left w:val="nil"/>
              <w:bottom w:val="single" w:sz="8" w:space="0" w:color="auto"/>
              <w:right w:val="single" w:sz="8" w:space="0" w:color="auto"/>
            </w:tcBorders>
            <w:tcMar>
              <w:top w:w="0" w:type="dxa"/>
              <w:left w:w="108" w:type="dxa"/>
              <w:bottom w:w="0" w:type="dxa"/>
              <w:right w:w="108" w:type="dxa"/>
            </w:tcMar>
          </w:tcPr>
          <w:p w:rsidR="006F7544" w:rsidRDefault="006F7544">
            <w:pPr>
              <w:spacing w:before="100" w:beforeAutospacing="1" w:after="100" w:afterAutospacing="1" w:line="276" w:lineRule="auto"/>
              <w:jc w:val="right"/>
              <w:rPr>
                <w:rFonts w:ascii="Calibri" w:hAnsi="Calibri"/>
                <w:sz w:val="18"/>
                <w:szCs w:val="18"/>
                <w:lang w:eastAsia="en-US"/>
              </w:rPr>
            </w:pPr>
          </w:p>
        </w:tc>
      </w:tr>
      <w:tr w:rsidR="006F7544" w:rsidTr="006F7544">
        <w:trPr>
          <w:jc w:val="center"/>
        </w:trPr>
        <w:tc>
          <w:tcPr>
            <w:tcW w:w="185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vAlign w:val="center"/>
            <w:hideMark/>
          </w:tcPr>
          <w:p w:rsidR="006F7544" w:rsidRDefault="006F7544">
            <w:pPr>
              <w:spacing w:line="276" w:lineRule="auto"/>
              <w:jc w:val="both"/>
              <w:rPr>
                <w:rFonts w:ascii="Calibri" w:hAnsi="Calibri"/>
                <w:sz w:val="18"/>
                <w:szCs w:val="18"/>
                <w:lang w:eastAsia="en-US"/>
              </w:rPr>
            </w:pPr>
            <w:r>
              <w:rPr>
                <w:rFonts w:ascii="Calibri" w:hAnsi="Calibri"/>
                <w:b/>
                <w:bCs/>
                <w:sz w:val="18"/>
                <w:szCs w:val="18"/>
                <w:lang w:eastAsia="en-US"/>
              </w:rPr>
              <w:t>Debito marzo 2015</w:t>
            </w:r>
          </w:p>
        </w:tc>
        <w:tc>
          <w:tcPr>
            <w:tcW w:w="66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2.184,500</w:t>
            </w:r>
          </w:p>
        </w:tc>
        <w:tc>
          <w:tcPr>
            <w:tcW w:w="128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 xml:space="preserve"> + 77,34 </w:t>
            </w:r>
            <w:proofErr w:type="spellStart"/>
            <w:r>
              <w:rPr>
                <w:rFonts w:ascii="Calibri" w:hAnsi="Calibri"/>
                <w:sz w:val="18"/>
                <w:szCs w:val="18"/>
                <w:lang w:eastAsia="en-US"/>
              </w:rPr>
              <w:t>mld</w:t>
            </w:r>
            <w:proofErr w:type="spellEnd"/>
            <w:r>
              <w:rPr>
                <w:rFonts w:ascii="Calibri" w:hAnsi="Calibri"/>
                <w:sz w:val="18"/>
                <w:szCs w:val="18"/>
                <w:lang w:eastAsia="en-US"/>
              </w:rPr>
              <w:t>  </w:t>
            </w:r>
            <w:r>
              <w:rPr>
                <w:rFonts w:ascii="Calibri" w:hAnsi="Calibri"/>
                <w:b/>
                <w:bCs/>
                <w:sz w:val="18"/>
                <w:szCs w:val="18"/>
                <w:lang w:eastAsia="en-US"/>
              </w:rPr>
              <w:t xml:space="preserve">(5,949 </w:t>
            </w:r>
            <w:proofErr w:type="spellStart"/>
            <w:r>
              <w:rPr>
                <w:rFonts w:ascii="Calibri" w:hAnsi="Calibri"/>
                <w:b/>
                <w:bCs/>
                <w:sz w:val="18"/>
                <w:szCs w:val="18"/>
                <w:lang w:eastAsia="en-US"/>
              </w:rPr>
              <w:t>mld</w:t>
            </w:r>
            <w:proofErr w:type="spellEnd"/>
            <w:r>
              <w:rPr>
                <w:rFonts w:ascii="Calibri" w:hAnsi="Calibri"/>
                <w:b/>
                <w:bCs/>
                <w:sz w:val="18"/>
                <w:szCs w:val="18"/>
                <w:lang w:eastAsia="en-US"/>
              </w:rPr>
              <w:t>/mese)</w:t>
            </w:r>
          </w:p>
        </w:tc>
        <w:tc>
          <w:tcPr>
            <w:tcW w:w="62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6F7544" w:rsidRDefault="006F7544">
            <w:pPr>
              <w:spacing w:line="276" w:lineRule="auto"/>
              <w:jc w:val="right"/>
              <w:rPr>
                <w:rFonts w:ascii="Calibri" w:hAnsi="Calibri"/>
                <w:sz w:val="18"/>
                <w:szCs w:val="18"/>
                <w:lang w:eastAsia="en-US"/>
              </w:rPr>
            </w:pPr>
            <w:r>
              <w:rPr>
                <w:rFonts w:ascii="Calibri" w:hAnsi="Calibri"/>
                <w:sz w:val="18"/>
                <w:szCs w:val="18"/>
                <w:lang w:eastAsia="en-US"/>
              </w:rPr>
              <w:t>36.530</w:t>
            </w:r>
          </w:p>
        </w:tc>
        <w:tc>
          <w:tcPr>
            <w:tcW w:w="572" w:type="pct"/>
            <w:tcBorders>
              <w:top w:val="nil"/>
              <w:left w:val="nil"/>
              <w:bottom w:val="single" w:sz="8" w:space="0" w:color="auto"/>
              <w:right w:val="single" w:sz="8" w:space="0" w:color="auto"/>
            </w:tcBorders>
            <w:tcMar>
              <w:top w:w="0" w:type="dxa"/>
              <w:left w:w="108" w:type="dxa"/>
              <w:bottom w:w="0" w:type="dxa"/>
              <w:right w:w="108" w:type="dxa"/>
            </w:tcMar>
            <w:hideMark/>
          </w:tcPr>
          <w:p w:rsidR="006F7544" w:rsidRDefault="006F7544">
            <w:pPr>
              <w:spacing w:before="100" w:beforeAutospacing="1" w:after="100" w:afterAutospacing="1" w:line="276" w:lineRule="auto"/>
              <w:jc w:val="right"/>
              <w:rPr>
                <w:rFonts w:ascii="Calibri" w:hAnsi="Calibri"/>
                <w:sz w:val="18"/>
                <w:szCs w:val="18"/>
                <w:lang w:eastAsia="en-US"/>
              </w:rPr>
            </w:pPr>
            <w:r>
              <w:rPr>
                <w:rFonts w:ascii="Calibri" w:hAnsi="Calibri"/>
                <w:sz w:val="18"/>
                <w:szCs w:val="18"/>
                <w:lang w:eastAsia="en-US"/>
              </w:rPr>
              <w:t>+ 1.293</w:t>
            </w:r>
          </w:p>
        </w:tc>
      </w:tr>
    </w:tbl>
    <w:p w:rsidR="006F7544" w:rsidRDefault="006F7544" w:rsidP="006F7544">
      <w:pPr>
        <w:pStyle w:val="Nessunaspaziatura"/>
        <w:rPr>
          <w:sz w:val="20"/>
          <w:szCs w:val="20"/>
          <w:lang w:eastAsia="en-US"/>
        </w:rPr>
      </w:pPr>
    </w:p>
    <w:p w:rsidR="006F7544" w:rsidRDefault="006F7544" w:rsidP="006F7544">
      <w:pPr>
        <w:pStyle w:val="Nessunaspaziatura"/>
        <w:rPr>
          <w:sz w:val="22"/>
          <w:szCs w:val="22"/>
          <w:lang w:eastAsia="en-US"/>
        </w:rPr>
      </w:pPr>
      <w:r>
        <w:rPr>
          <w:sz w:val="22"/>
          <w:szCs w:val="22"/>
          <w:lang w:eastAsia="en-US"/>
        </w:rPr>
        <w:t xml:space="preserve">                                                                        Elio Lannutti (Adusbef) - Rosario </w:t>
      </w:r>
      <w:proofErr w:type="spellStart"/>
      <w:r>
        <w:rPr>
          <w:sz w:val="22"/>
          <w:szCs w:val="22"/>
          <w:lang w:eastAsia="en-US"/>
        </w:rPr>
        <w:t>Trefiletti</w:t>
      </w:r>
      <w:proofErr w:type="spellEnd"/>
      <w:r>
        <w:rPr>
          <w:sz w:val="22"/>
          <w:szCs w:val="22"/>
          <w:lang w:eastAsia="en-US"/>
        </w:rPr>
        <w:t xml:space="preserve"> (</w:t>
      </w:r>
      <w:proofErr w:type="spellStart"/>
      <w:r>
        <w:rPr>
          <w:sz w:val="22"/>
          <w:szCs w:val="22"/>
          <w:lang w:eastAsia="en-US"/>
        </w:rPr>
        <w:t>Federconsumatori</w:t>
      </w:r>
      <w:proofErr w:type="spellEnd"/>
      <w:r>
        <w:rPr>
          <w:sz w:val="22"/>
          <w:szCs w:val="22"/>
          <w:lang w:eastAsia="en-US"/>
        </w:rPr>
        <w:t>)</w:t>
      </w:r>
    </w:p>
    <w:p w:rsidR="006F7544" w:rsidRDefault="006F7544" w:rsidP="006F7544">
      <w:pPr>
        <w:pStyle w:val="Nessunaspaziatura"/>
        <w:rPr>
          <w:sz w:val="22"/>
          <w:szCs w:val="22"/>
          <w:lang w:eastAsia="en-US"/>
        </w:rPr>
      </w:pPr>
      <w:r>
        <w:rPr>
          <w:sz w:val="22"/>
          <w:szCs w:val="22"/>
          <w:lang w:eastAsia="en-US"/>
        </w:rPr>
        <w:t xml:space="preserve">Roma, 14-5-2015 </w:t>
      </w:r>
    </w:p>
    <w:p w:rsidR="006F7544" w:rsidRDefault="006F7544" w:rsidP="006F7544">
      <w:pPr>
        <w:rPr>
          <w:rFonts w:ascii="Calibri" w:hAnsi="Calibri"/>
          <w:sz w:val="22"/>
          <w:szCs w:val="22"/>
        </w:rPr>
      </w:pPr>
    </w:p>
    <w:p w:rsidR="009B5E7D" w:rsidRDefault="006F7544">
      <w:bookmarkStart w:id="0" w:name="_GoBack"/>
      <w:bookmarkEnd w:id="0"/>
    </w:p>
    <w:sectPr w:rsidR="009B5E7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544"/>
    <w:rsid w:val="000541E9"/>
    <w:rsid w:val="00076B7B"/>
    <w:rsid w:val="000F61A8"/>
    <w:rsid w:val="002757D2"/>
    <w:rsid w:val="006F7544"/>
    <w:rsid w:val="00A15AC7"/>
    <w:rsid w:val="00F15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7544"/>
    <w:pPr>
      <w:spacing w:after="0" w:line="240" w:lineRule="auto"/>
      <w:jc w:val="left"/>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basedOn w:val="Normale"/>
    <w:uiPriority w:val="1"/>
    <w:qFormat/>
    <w:rsid w:val="006F7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7544"/>
    <w:pPr>
      <w:spacing w:after="0" w:line="240" w:lineRule="auto"/>
      <w:jc w:val="left"/>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basedOn w:val="Normale"/>
    <w:uiPriority w:val="1"/>
    <w:qFormat/>
    <w:rsid w:val="006F7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00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493</Words>
  <Characters>2813</Characters>
  <Application>Microsoft Office Word</Application>
  <DocSecurity>0</DocSecurity>
  <Lines>23</Lines>
  <Paragraphs>6</Paragraphs>
  <ScaleCrop>false</ScaleCrop>
  <Company/>
  <LinksUpToDate>false</LinksUpToDate>
  <CharactersWithSpaces>3300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1</cp:revision>
  <dcterms:created xsi:type="dcterms:W3CDTF">2015-05-14T15:27:00Z</dcterms:created>
  <dcterms:modified xsi:type="dcterms:W3CDTF">2015-05-14T15:27:00Z</dcterms:modified>
</cp:coreProperties>
</file>