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51" w:rsidRDefault="00832D51" w:rsidP="00832D51">
      <w:pPr>
        <w:shd w:val="clear" w:color="auto" w:fill="FFFFFF"/>
        <w:spacing w:after="0" w:line="252" w:lineRule="atLeast"/>
        <w:jc w:val="center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bookmarkStart w:id="0" w:name="_GoBack"/>
      <w:bookmarkEnd w:id="0"/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COMUNICATO STAMPA</w:t>
      </w:r>
    </w:p>
    <w:p w:rsidR="00832D51" w:rsidRDefault="00832D51" w:rsidP="00832D51">
      <w:pPr>
        <w:shd w:val="clear" w:color="auto" w:fill="FFFFFF"/>
        <w:spacing w:after="0" w:line="252" w:lineRule="atLeast"/>
        <w:jc w:val="center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</w:p>
    <w:p w:rsidR="00832D51" w:rsidRDefault="00832D51" w:rsidP="00832D51">
      <w:pPr>
        <w:shd w:val="clear" w:color="auto" w:fill="FFFFFF"/>
        <w:spacing w:after="0" w:line="252" w:lineRule="atLeast"/>
        <w:jc w:val="center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BANCHE: NONOSTANTE IL DIVIETO DI ANATOCISMO (CAPITALIZZAZIONE INTERESSI), PROTETTE DA GOVERNI CAMERIERI E MAGGIORDOMI BANKITALIA, CONTINUANO ILLEGALITA’ ANCHE SU PRESTITO VITALIZIO IPOTECARIO</w:t>
      </w:r>
    </w:p>
    <w:p w:rsidR="00832D51" w:rsidRDefault="00832D51" w:rsidP="00832D51">
      <w:pPr>
        <w:shd w:val="clear" w:color="auto" w:fill="FFFFFF"/>
        <w:spacing w:after="0" w:line="252" w:lineRule="atLeast"/>
        <w:jc w:val="center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</w:p>
    <w:p w:rsidR="000D5EB0" w:rsidRDefault="00832D51" w:rsidP="000D5EB0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  Nonostante il divieto di anatocismo </w:t>
      </w:r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sancito nel</w:t>
      </w:r>
      <w:r w:rsidR="000D5EB0" w:rsidRP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2000 </w:t>
      </w:r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dal</w:t>
      </w:r>
      <w:r w:rsidR="000D5EB0" w:rsidRP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la Corte costituzionale</w:t>
      </w:r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, che</w:t>
      </w:r>
      <w:r w:rsidR="000D5EB0" w:rsidRP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aveva eliminato definitivamente </w:t>
      </w:r>
      <w:r w:rsidR="000D5EB0" w:rsidRP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dall’ordinamento italian</w:t>
      </w:r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o</w:t>
      </w:r>
      <w:r w:rsidR="000D5EB0" w:rsidRPr="000D5EB0">
        <w:t xml:space="preserve"> </w:t>
      </w:r>
      <w:r w:rsidR="000D5EB0" w:rsidRP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la possibilità per le banche di fare pagare ai correntisti in rosso gli interessi sugli interessi passivi dovuti</w:t>
      </w:r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,</w:t>
      </w:r>
      <w:r w:rsidR="000D5EB0" w:rsidRP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r w:rsidR="00FA57DB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malgrado 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il goffo tentativo di ripristinarlo, con un emendamento firmato </w:t>
      </w:r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nel luglio scorso 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all’insaputa del ministro dello Sviluppo Economico </w:t>
      </w:r>
      <w:r w:rsidR="001E0DD3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Federica 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Guidi al</w:t>
      </w:r>
      <w:r w:rsidR="001E4104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decreto competitività</w:t>
      </w:r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, le banche protette dai </w:t>
      </w:r>
      <w:r w:rsidR="00FA57DB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loro fedeli </w:t>
      </w:r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maggiordomi di </w:t>
      </w:r>
      <w:proofErr w:type="spellStart"/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Bankitalia</w:t>
      </w:r>
      <w:proofErr w:type="spellEnd"/>
      <w:r w:rsid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che aveva difeso tali prestiti usurari </w:t>
      </w:r>
      <w:r w:rsidR="00FA57DB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con la giustificazione che: </w:t>
      </w:r>
      <w:r w:rsidR="000D5EB0" w:rsidRPr="000D5EB0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“Nessuna economia di mercato può funzionare senza questo meccanismo”,</w:t>
      </w:r>
      <w:r w:rsidR="00FA57DB" w:rsidRPr="00FA57DB">
        <w:t xml:space="preserve"> </w:t>
      </w:r>
      <w:r w:rsidR="00FA57DB" w:rsidRPr="00FA57DB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continuano ad usurare correntisti ed affidati anche sul prestito vitalizio ipotecario.</w:t>
      </w:r>
    </w:p>
    <w:p w:rsidR="001E0DD3" w:rsidRDefault="000D5EB0" w:rsidP="001E4104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 </w:t>
      </w:r>
      <w:r w:rsidR="001E0DD3" w:rsidRPr="001E0DD3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“Qualsiasi paese che non abbia una legislazione islamica accetta l’applicazione degli interessi composti, nessuna economia di mercato può funzionare senza questo meccanismo”- aveva affermato Giorgio Gobbi del servizio stabilità finanziaria di Banca d’</w:t>
      </w:r>
      <w:r w:rsidR="001E4104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I</w:t>
      </w:r>
      <w:r w:rsidR="001E0DD3" w:rsidRPr="001E0DD3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talia in un’audizione al Senato</w:t>
      </w:r>
      <w:r w:rsidR="00FA57DB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nel luglio 2014</w:t>
      </w:r>
      <w:r w:rsidR="001E0DD3" w:rsidRPr="001E0DD3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, sulla conversione in legge del decreto competitività, che all’articolo 31 prevede la reintroduzione del cosiddetto anatocismo bancario.</w:t>
      </w:r>
      <w:r w:rsidR="001E4104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r w:rsidR="001E0DD3" w:rsidRPr="001E0DD3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“Anche abolendo formalmente l’interesse sugli interessi-  aveva proseguito lo spericolato Gobbi, quinta colonna </w:t>
      </w:r>
      <w:proofErr w:type="spellStart"/>
      <w:r w:rsidR="001E0DD3" w:rsidRPr="001E0DD3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dell’Abi</w:t>
      </w:r>
      <w:proofErr w:type="spellEnd"/>
      <w:r w:rsidR="001E0DD3" w:rsidRPr="001E0DD3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-  lo avremmo sotto altra forma, per esempio sui titoli di stato e sul finanziamento presso la banca centrale”.   </w:t>
      </w:r>
    </w:p>
    <w:p w:rsidR="001E0DD3" w:rsidRDefault="000D5EB0" w:rsidP="00FA57DB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  </w:t>
      </w:r>
      <w:r w:rsidR="001E4104" w:rsidRPr="001E4104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“Se il legislatore vuole vietare l’interesse composto, deve sapere che lo vieterà solo sulla carta perché un sistema come il nostro non potrebbe farne a meno: l’intera struttura della determinazione dei tassi di interesse si basa sull’interesse composto, se lo aboliamo dovremmo ripensare come definire tutti gli strumenti finanziari”</w:t>
      </w:r>
      <w:r w:rsidR="00FA57DB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- aveva tentato invano </w:t>
      </w:r>
      <w:proofErr w:type="spellStart"/>
      <w:r w:rsidR="00FA57DB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Bankitalia</w:t>
      </w:r>
      <w:proofErr w:type="spellEnd"/>
      <w:r w:rsidR="00FA57DB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di ammonire Governo e Parlamento, che aveva respinto la reintroduzione dell’anatocismo nell’ordinamento</w:t>
      </w:r>
      <w:r w:rsidR="001E4104" w:rsidRPr="001E4104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. </w:t>
      </w:r>
    </w:p>
    <w:p w:rsidR="00EB022A" w:rsidRDefault="00FA57DB" w:rsidP="00480AE5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  </w:t>
      </w:r>
      <w:r w:rsid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C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ome risulta da una recente indagine Adusbef</w:t>
      </w:r>
      <w:r w:rsid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, 9 banche su 10, prendendo alla lettera le illegali istruzioni di </w:t>
      </w:r>
      <w:proofErr w:type="spellStart"/>
      <w:r w:rsid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Bankitalia</w:t>
      </w:r>
      <w:proofErr w:type="spellEnd"/>
      <w:r w:rsid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, continuano nell’azione </w:t>
      </w:r>
      <w:r w:rsidR="00480AE5"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con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la quale</w:t>
      </w:r>
      <w:r w:rsidR="00480AE5"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sommano gli interessi al capitale sul quale sono stati calcolati, in modo che detti interessi producano a loro volta altri interessi supplementari</w:t>
      </w:r>
      <w:r w:rsid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, non solo su prestiti e fidi, ma perfino sul nuovo istituto recentemente approvato dal parlamento, del 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‘</w:t>
      </w:r>
      <w:r w:rsidR="00480AE5" w:rsidRPr="00EB022A">
        <w:rPr>
          <w:rFonts w:ascii="Tahoma" w:eastAsia="Times New Roman" w:hAnsi="Tahoma" w:cs="Tahoma"/>
          <w:b/>
          <w:color w:val="4A4A4A"/>
          <w:sz w:val="18"/>
          <w:szCs w:val="18"/>
          <w:lang w:eastAsia="it-IT"/>
        </w:rPr>
        <w:t>prestito vitalizio ipotecario</w:t>
      </w:r>
      <w:r w:rsidR="00EB022A" w:rsidRPr="00EB022A">
        <w:rPr>
          <w:rFonts w:ascii="Tahoma" w:eastAsia="Times New Roman" w:hAnsi="Tahoma" w:cs="Tahoma"/>
          <w:b/>
          <w:color w:val="4A4A4A"/>
          <w:sz w:val="18"/>
          <w:szCs w:val="18"/>
          <w:lang w:eastAsia="it-IT"/>
        </w:rPr>
        <w:t>’</w:t>
      </w:r>
      <w:r w:rsid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,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r w:rsid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per 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poter mettere le mani nel patrimonio immobiliare degli anziani e sottrarlo così in maniera più rapida possibile, agli eredi.</w:t>
      </w:r>
    </w:p>
    <w:p w:rsidR="00480AE5" w:rsidRDefault="00480AE5" w:rsidP="00EB022A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r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Il prestito 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vitalizio ipotecario, definito ‘</w:t>
      </w:r>
      <w:r w:rsidR="00EB022A" w:rsidRPr="00EB022A">
        <w:rPr>
          <w:rFonts w:ascii="Tahoma" w:eastAsia="Times New Roman" w:hAnsi="Tahoma" w:cs="Tahoma"/>
          <w:i/>
          <w:color w:val="4A4A4A"/>
          <w:sz w:val="18"/>
          <w:szCs w:val="18"/>
          <w:lang w:eastAsia="it-IT"/>
        </w:rPr>
        <w:t>nuova fornitura di droga per finanziare vite a credito’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, </w:t>
      </w:r>
      <w:r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può essere richiesto da chi ha più di 60 anni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, con la garanzia dell’immobile </w:t>
      </w:r>
      <w:r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e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, a</w:t>
      </w:r>
      <w:r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l decesso del contraente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, </w:t>
      </w:r>
      <w:r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gli eredi 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hanno poche scelte: </w:t>
      </w:r>
      <w:r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cedere 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l’immobile </w:t>
      </w:r>
      <w:r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alla banca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, </w:t>
      </w:r>
      <w:r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saldare il debito 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caricato di interessi </w:t>
      </w:r>
      <w:proofErr w:type="spellStart"/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anatocistici</w:t>
      </w:r>
      <w:proofErr w:type="spellEnd"/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abbondantemente ricapitalizzati</w:t>
      </w:r>
      <w:r w:rsidRPr="00480A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, oppure vendere in proprio l'immobile accordandosi con il finanziatore, purché la compravendita si perfezioni in 12 mesi.</w:t>
      </w:r>
      <w:r w:rsidR="00EB022A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</w:p>
    <w:p w:rsidR="00790C79" w:rsidRDefault="00232DCF" w:rsidP="00EB022A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  Nello studio Adusbef che ha preso in considerazione un prestito di 80.000 euro con garanzia del valore di un immobile stimato 350.000 euro, rimborsabile dal proprietario, al tasso del 7,5% (imposto da una banca ad un cliente che lo ha ottenuto), la rata mensile di 949,61 euro</w:t>
      </w:r>
      <w:r w:rsidR="00790C79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porterà a rimborsare interessi ricapitalizzati con il metodo cosiddetto ‘alla francese (prima gli interessi, poi il capitale) per 33.953 euro, quindi a restituire alla banca 113.954 euro.</w:t>
      </w:r>
    </w:p>
    <w:p w:rsidR="00790C79" w:rsidRDefault="00790C79" w:rsidP="00EB022A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  Nel caso in cui, dopo 10 anni, dovessero essere gli eredi ad effettuare il rimborso, il capitale prestato dalla banca, ricapitalizzato con interessi </w:t>
      </w:r>
      <w:proofErr w:type="spellStart"/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anatocistici</w:t>
      </w:r>
      <w:proofErr w:type="spellEnd"/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r w:rsidRPr="00790C79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pari ad 84.882 euro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,</w:t>
      </w:r>
      <w:r w:rsidRPr="00790C79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arriverà a superare il capitale, con un esborso complessivo di 164.882 euro, che potrà difficilmente essere estinto entro i 12 mesi previsti dalla normativa, con la perdita certa del bene costato già sacrifici, risparmi e privazioni per onorare il mutuo con il quale si è diventati proprietari dell’abitazione.</w:t>
      </w:r>
    </w:p>
    <w:p w:rsidR="00E82B2C" w:rsidRPr="00E82B2C" w:rsidRDefault="00E82B2C" w:rsidP="00E82B2C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  Adusbef già in sede di discussione legislativa sul</w:t>
      </w:r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prestito ipotecario vitalizio, garantito da una proprietà immobiliare che consent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iv</w:t>
      </w:r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a ai proprietari over 6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0</w:t>
      </w:r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di convertire parte del valore dell’immobile in contanti per migliorare il tenore di vita, soddisfare esigenze di consumo o anche supportare con l’anticipo i figli nell’acquisto della casa senza perdere la proprietà dell’immobile, 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lo aveva bollato come </w:t>
      </w:r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l’ennesimo tentativo di saccheggiare il sudato risparmio dei vecchi, spogliando gli eredi con spese, interessi e provvigioni da parte di un sistema bancario avido e spregiudicato, tra i peggiori d’Europa. Le banche italiane che praticano tassi di interessi più elevati di 1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0</w:t>
      </w:r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9 punti base della media Ue sui mutui prima casa  e costi annui dei conti correnti pari a 3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18</w:t>
      </w:r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euro l’anno, contro una media di 114 euro, non contente di saccheggiare i consumatori, le famiglie e le piccole e medie imprese sono – come spiega </w:t>
      </w:r>
      <w:proofErr w:type="spellStart"/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Zigmunt</w:t>
      </w:r>
      <w:proofErr w:type="spellEnd"/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proofErr w:type="spellStart"/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Bauman</w:t>
      </w:r>
      <w:proofErr w:type="spellEnd"/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nel ‘mondo drogato della vita a credito’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-</w:t>
      </w:r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alla ricerca di nuove terre vergini da esplorare: ”Vivere a credito dà dipendenza come poche altre droghe, e decenni di abbondante disponibilità di una droga non possono che portare a uno shock e a un trauma quando la disponibilità cessa. Oggi ci viene proposta una via d’uscita apparentemente semplice dallo shock che affligge sia i tossicodipendenti che gli spacciatori: riprendere (con auspicabile regolarità) la fornitura di droga”.    </w:t>
      </w:r>
    </w:p>
    <w:p w:rsidR="00E82B2C" w:rsidRDefault="00E82B2C" w:rsidP="00E82B2C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  Il prestito ipotecario vitalizio rappresenta l’ennesima fornitura di droga, che si aggiunge alle carte di debito, al denaro dal nulla di plastica e delle carte revolving, per rendere ancora più schiavi milioni di famiglie gettate nelle grinfie di banche e società finanziarie, con l’illusione di condizioni più felici con vite scandite da rate e ratei di interessi </w:t>
      </w:r>
      <w:proofErr w:type="spellStart"/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anatocistici</w:t>
      </w:r>
      <w:proofErr w:type="spellEnd"/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che non si riusciranno mai a pagare, ipotecando così il futuro di intere generazioni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che avevano </w:t>
      </w:r>
      <w:r w:rsidRPr="00E82B2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investito nelle proprie abitazioni con duri sacrifici e costosi mutui, che rappresentano ‘quelle nuove terre vergini’ del patrimonio immobiliare privato costituito dalle case, pari a 4.837,8 miliardi di euro, come nuova frontiera da saccheggiare.</w:t>
      </w:r>
    </w:p>
    <w:p w:rsidR="00E82B2C" w:rsidRDefault="00E82B2C" w:rsidP="00E82B2C">
      <w:pPr>
        <w:shd w:val="clear" w:color="auto" w:fill="FFFFFF"/>
        <w:spacing w:after="0" w:line="252" w:lineRule="atLeas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                                                                                                                              Elio Lannutti (Adusbef)</w:t>
      </w:r>
    </w:p>
    <w:p w:rsidR="00C94F47" w:rsidRDefault="00C94F47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Roma,</w:t>
      </w:r>
      <w:r w:rsidR="008551E5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9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.5.2015</w:t>
      </w:r>
    </w:p>
    <w:p w:rsidR="00B95742" w:rsidRPr="00B05387" w:rsidRDefault="00505068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lastRenderedPageBreak/>
        <w:t>Valore immobile 350.000 euro</w:t>
      </w:r>
      <w:r w:rsidR="00B95742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. Prestito di 80.000 </w:t>
      </w:r>
    </w:p>
    <w:p w:rsidR="00135FBC" w:rsidRDefault="00135FBC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SE RIMBORSA IL PROPRIETARIO</w:t>
      </w:r>
    </w:p>
    <w:p w:rsidR="00B05387" w:rsidRDefault="00505068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Prestito di 80.000 euro</w:t>
      </w:r>
      <w:r w:rsid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. Prestito rimborsato dal proprietario</w:t>
      </w:r>
      <w:r w:rsidR="00232DCF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</w:t>
      </w:r>
      <w:r w:rsid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in 10 anni</w:t>
      </w:r>
    </w:p>
    <w:p w:rsidR="00B05387" w:rsidRPr="00B05387" w:rsidRDefault="00505068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Tasso 7,5%</w:t>
      </w:r>
      <w:r w:rsid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.</w:t>
      </w:r>
      <w:r w:rsidR="00B05387"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Metodo di rimborso “alla francese”.</w:t>
      </w:r>
    </w:p>
    <w:p w:rsidR="00B05387" w:rsidRPr="00B05387" w:rsidRDefault="00B05387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Decesso dopo 10 anni. </w:t>
      </w:r>
    </w:p>
    <w:p w:rsidR="00505068" w:rsidRPr="00B05387" w:rsidRDefault="00505068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Rata mese 9</w:t>
      </w:r>
      <w:r w:rsidR="00427047"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49,61 euro</w:t>
      </w:r>
    </w:p>
    <w:p w:rsidR="00427047" w:rsidRPr="00B05387" w:rsidRDefault="00427047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Interessi rimborsati: 33.953,6</w:t>
      </w:r>
      <w:r w:rsidR="006A7DA6"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2</w:t>
      </w:r>
      <w:r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euro</w:t>
      </w:r>
    </w:p>
    <w:p w:rsidR="00505068" w:rsidRDefault="00427047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Importo</w:t>
      </w:r>
      <w:r w:rsidR="00505068"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finale rimborsato 11</w:t>
      </w:r>
      <w:r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3</w:t>
      </w:r>
      <w:r w:rsidR="00505068"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.</w:t>
      </w:r>
      <w:r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954</w:t>
      </w:r>
      <w:r w:rsidR="00505068" w:rsidRP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 euro</w:t>
      </w:r>
    </w:p>
    <w:p w:rsidR="00B05387" w:rsidRPr="00B05387" w:rsidRDefault="00B05387" w:rsidP="00B0538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</w:p>
    <w:tbl>
      <w:tblPr>
        <w:tblW w:w="0" w:type="auto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2250"/>
        <w:gridCol w:w="1950"/>
        <w:gridCol w:w="1950"/>
      </w:tblGrid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it-IT"/>
              </w:rPr>
              <w:t>Periodo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it-IT"/>
              </w:rPr>
              <w:t>Capitale residuo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it-IT"/>
              </w:rPr>
              <w:t>Quota interessi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b/>
                <w:bCs/>
                <w:color w:val="auto"/>
                <w:sz w:val="18"/>
                <w:szCs w:val="18"/>
                <w:lang w:eastAsia="it-IT"/>
              </w:rPr>
              <w:t>Quota capitale</w:t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 xml:space="preserve">80.000,00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 xml:space="preserve">0,00 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 xml:space="preserve">0,00 </w:t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1521EB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1°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1521EB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74.415,25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5810,6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5584,75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2°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68.396,93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5377,06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6018,31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3°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61.911,40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4909,83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6485,53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4°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54.922,38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4406,34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6989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5°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47.390,79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3863,76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7531,6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6°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39.274,49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3279,07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8116,3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7°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30.528,11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2648,99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8746,39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8°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21.102,73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1969,98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9425,38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9°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 w:rsidRPr="00427047"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10.945,63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1238,26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10157,11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10° ANNO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0,00</w:t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449,73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Pr="0042704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10945,62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</w:tr>
      <w:tr w:rsidR="00727577" w:rsidRPr="00427047" w:rsidTr="00427047">
        <w:trPr>
          <w:tblCellSpacing w:w="0" w:type="dxa"/>
        </w:trPr>
        <w:tc>
          <w:tcPr>
            <w:tcW w:w="90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t>TOTALE</w:t>
            </w:r>
          </w:p>
        </w:tc>
        <w:tc>
          <w:tcPr>
            <w:tcW w:w="22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33.953,62</w:t>
            </w:r>
            <w:r>
              <w:rPr>
                <w:rFonts w:ascii="Tahoma" w:eastAsia="Times New Roman" w:hAnsi="Tahoma" w:cs="Tahoma"/>
                <w:color w:val="auto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1950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27577" w:rsidRDefault="00727577" w:rsidP="00427047">
            <w:pPr>
              <w:spacing w:after="0" w:line="252" w:lineRule="atLeast"/>
              <w:jc w:val="right"/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</w:pPr>
            <w:r w:rsidRPr="006A7DA6">
              <w:rPr>
                <w:rFonts w:ascii="Tahoma" w:eastAsia="Times New Roman" w:hAnsi="Tahoma" w:cs="Tahoma"/>
                <w:noProof/>
                <w:color w:val="auto"/>
                <w:sz w:val="18"/>
                <w:szCs w:val="18"/>
                <w:lang w:eastAsia="it-IT"/>
              </w:rPr>
              <w:t>80.000</w:t>
            </w:r>
          </w:p>
        </w:tc>
      </w:tr>
    </w:tbl>
    <w:p w:rsidR="00427047" w:rsidRDefault="00427047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</w:p>
    <w:p w:rsidR="00135FBC" w:rsidRDefault="00135FBC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SE RIMBORSANO GLI EREDI</w:t>
      </w:r>
    </w:p>
    <w:p w:rsidR="000F35C5" w:rsidRDefault="001521EB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Prestito di 80.000. </w:t>
      </w:r>
      <w:r w:rsid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Prestito rimborsato dagli eredi dopo 10 anni.</w:t>
      </w:r>
    </w:p>
    <w:p w:rsidR="000F35C5" w:rsidRDefault="000F35C5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7,5% </w:t>
      </w:r>
      <w:r w:rsidR="001521EB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annuo ricapitalizzato annualmente</w:t>
      </w:r>
      <w:r w:rsid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.</w:t>
      </w:r>
    </w:p>
    <w:p w:rsidR="00B05387" w:rsidRDefault="00B05387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Decesso dopo 10 anni. </w:t>
      </w:r>
    </w:p>
    <w:p w:rsidR="000F35C5" w:rsidRDefault="001521EB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Interessi finali: </w:t>
      </w:r>
      <w:r w:rsidR="00B05387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84</w:t>
      </w: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.882</w:t>
      </w:r>
    </w:p>
    <w:p w:rsidR="001521EB" w:rsidRDefault="001521EB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Importo finale rimborsato 164.882 </w:t>
      </w:r>
    </w:p>
    <w:p w:rsidR="00AC53A1" w:rsidRDefault="00AC53A1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3"/>
        <w:gridCol w:w="1090"/>
        <w:gridCol w:w="2012"/>
      </w:tblGrid>
      <w:tr w:rsidR="000F35C5" w:rsidTr="001521EB">
        <w:tc>
          <w:tcPr>
            <w:tcW w:w="0" w:type="auto"/>
          </w:tcPr>
          <w:p w:rsidR="000F35C5" w:rsidRDefault="000F35C5" w:rsidP="000F35C5">
            <w:pPr>
              <w:shd w:val="clear" w:color="auto" w:fill="FFFFFF"/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</w:p>
        </w:tc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INTERESSI</w:t>
            </w:r>
          </w:p>
        </w:tc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CAP. DA RIMBORSARE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1° ANNO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6.000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86.000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2° ANNO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6.450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92.450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3° ANNO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6.933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99.384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4° ANNO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7.454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106.838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5° ANNO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8.013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114.850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6° ANNO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8.614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123.464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7°ANNO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9.260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132.723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8° ANNO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9.954</w:t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142.678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9° ANNO</w:t>
            </w:r>
          </w:p>
        </w:tc>
        <w:tc>
          <w:tcPr>
            <w:tcW w:w="0" w:type="auto"/>
          </w:tcPr>
          <w:p w:rsidR="000F35C5" w:rsidRDefault="001521EB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10.701</w:t>
            </w:r>
          </w:p>
        </w:tc>
        <w:tc>
          <w:tcPr>
            <w:tcW w:w="0" w:type="auto"/>
          </w:tcPr>
          <w:p w:rsidR="000F35C5" w:rsidRDefault="001521EB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153.379</w:t>
            </w:r>
          </w:p>
        </w:tc>
      </w:tr>
      <w:tr w:rsidR="000F35C5" w:rsidTr="001521EB">
        <w:tc>
          <w:tcPr>
            <w:tcW w:w="0" w:type="auto"/>
          </w:tcPr>
          <w:p w:rsidR="000F35C5" w:rsidRDefault="000F35C5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10°ANNO</w:t>
            </w:r>
          </w:p>
        </w:tc>
        <w:tc>
          <w:tcPr>
            <w:tcW w:w="0" w:type="auto"/>
          </w:tcPr>
          <w:p w:rsidR="000F35C5" w:rsidRDefault="001521EB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11.503</w:t>
            </w:r>
          </w:p>
        </w:tc>
        <w:tc>
          <w:tcPr>
            <w:tcW w:w="0" w:type="auto"/>
          </w:tcPr>
          <w:p w:rsidR="000F35C5" w:rsidRDefault="001521EB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164.882</w:t>
            </w:r>
          </w:p>
        </w:tc>
      </w:tr>
      <w:tr w:rsidR="000F35C5" w:rsidTr="001521EB">
        <w:tc>
          <w:tcPr>
            <w:tcW w:w="0" w:type="auto"/>
          </w:tcPr>
          <w:p w:rsidR="000F35C5" w:rsidRDefault="00B05387" w:rsidP="00427047">
            <w:pPr>
              <w:spacing w:line="252" w:lineRule="atLeast"/>
              <w:jc w:val="lef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t>TOTALE</w:t>
            </w:r>
          </w:p>
        </w:tc>
        <w:tc>
          <w:tcPr>
            <w:tcW w:w="0" w:type="auto"/>
          </w:tcPr>
          <w:p w:rsidR="000F35C5" w:rsidRDefault="00B05387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instrText xml:space="preserve"> =SUM(ABOVE) </w:instrText>
            </w: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fldChar w:fldCharType="separate"/>
            </w:r>
            <w:r>
              <w:rPr>
                <w:rFonts w:ascii="Tahoma" w:eastAsia="Times New Roman" w:hAnsi="Tahoma" w:cs="Tahoma"/>
                <w:noProof/>
                <w:color w:val="4A4A4A"/>
                <w:sz w:val="18"/>
                <w:szCs w:val="18"/>
                <w:lang w:eastAsia="it-IT"/>
              </w:rPr>
              <w:t>84.882</w:t>
            </w:r>
            <w:r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0" w:type="auto"/>
          </w:tcPr>
          <w:p w:rsidR="000F35C5" w:rsidRDefault="000F35C5" w:rsidP="001521EB">
            <w:pPr>
              <w:spacing w:line="252" w:lineRule="atLeast"/>
              <w:jc w:val="right"/>
              <w:rPr>
                <w:rFonts w:ascii="Tahoma" w:eastAsia="Times New Roman" w:hAnsi="Tahoma" w:cs="Tahoma"/>
                <w:color w:val="4A4A4A"/>
                <w:sz w:val="18"/>
                <w:szCs w:val="18"/>
                <w:lang w:eastAsia="it-IT"/>
              </w:rPr>
            </w:pPr>
          </w:p>
        </w:tc>
      </w:tr>
    </w:tbl>
    <w:p w:rsidR="00135FBC" w:rsidRDefault="00135FBC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</w:p>
    <w:p w:rsidR="00135FBC" w:rsidRDefault="00B95742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  <w:r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 xml:space="preserve">Ipotizzando una ricapitalizzazione annuale ed escludendo rimborsi da parte del proprietario, </w:t>
      </w:r>
      <w:r w:rsidR="00135FBC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gli eredi pagheranno 50.928 euro in più rispetto al rimborso effettuato dal proprietario nel corso dei suoi ultimi 10 anni di vita</w:t>
      </w:r>
      <w:r w:rsidR="00232DCF">
        <w:rPr>
          <w:rFonts w:ascii="Tahoma" w:eastAsia="Times New Roman" w:hAnsi="Tahoma" w:cs="Tahoma"/>
          <w:color w:val="4A4A4A"/>
          <w:sz w:val="18"/>
          <w:szCs w:val="18"/>
          <w:lang w:eastAsia="it-IT"/>
        </w:rPr>
        <w:t>.</w:t>
      </w:r>
    </w:p>
    <w:p w:rsidR="00135FBC" w:rsidRPr="00427047" w:rsidRDefault="00135FBC" w:rsidP="00427047">
      <w:pPr>
        <w:shd w:val="clear" w:color="auto" w:fill="FFFFFF"/>
        <w:spacing w:after="0" w:line="252" w:lineRule="atLeast"/>
        <w:jc w:val="left"/>
        <w:rPr>
          <w:rFonts w:ascii="Tahoma" w:eastAsia="Times New Roman" w:hAnsi="Tahoma" w:cs="Tahoma"/>
          <w:color w:val="4A4A4A"/>
          <w:sz w:val="18"/>
          <w:szCs w:val="18"/>
          <w:lang w:eastAsia="it-IT"/>
        </w:rPr>
      </w:pPr>
    </w:p>
    <w:sectPr w:rsidR="00135FBC" w:rsidRPr="00427047" w:rsidSect="00C94F47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83770"/>
    <w:multiLevelType w:val="multilevel"/>
    <w:tmpl w:val="FD16C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146EF4"/>
    <w:multiLevelType w:val="multilevel"/>
    <w:tmpl w:val="8F182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2"/>
  <w:proofState w:spelling="clean"/>
  <w:attachedTemplate r:id="rId1"/>
  <w:defaultTabStop w:val="708"/>
  <w:hyphenationZone w:val="283"/>
  <w:characterSpacingControl w:val="doNotCompress"/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51"/>
    <w:rsid w:val="000541E9"/>
    <w:rsid w:val="00076B7B"/>
    <w:rsid w:val="000D5EB0"/>
    <w:rsid w:val="000F35C5"/>
    <w:rsid w:val="000F61A8"/>
    <w:rsid w:val="00135FBC"/>
    <w:rsid w:val="001521EB"/>
    <w:rsid w:val="001E0DD3"/>
    <w:rsid w:val="001E4104"/>
    <w:rsid w:val="00232DCF"/>
    <w:rsid w:val="002757D2"/>
    <w:rsid w:val="00361076"/>
    <w:rsid w:val="00410CCA"/>
    <w:rsid w:val="00427047"/>
    <w:rsid w:val="00480AE5"/>
    <w:rsid w:val="00505068"/>
    <w:rsid w:val="006A7DA6"/>
    <w:rsid w:val="006B1371"/>
    <w:rsid w:val="00727577"/>
    <w:rsid w:val="00790C79"/>
    <w:rsid w:val="00832D51"/>
    <w:rsid w:val="008551E5"/>
    <w:rsid w:val="00883D8A"/>
    <w:rsid w:val="00A15AC7"/>
    <w:rsid w:val="00AC53A1"/>
    <w:rsid w:val="00B05387"/>
    <w:rsid w:val="00B95742"/>
    <w:rsid w:val="00C94F47"/>
    <w:rsid w:val="00E82B2C"/>
    <w:rsid w:val="00EB022A"/>
    <w:rsid w:val="00F157D7"/>
    <w:rsid w:val="00FA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15AC7"/>
    <w:rPr>
      <w:color w:val="0020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ottotitolimol">
    <w:name w:val="sottotitoli_mol"/>
    <w:basedOn w:val="Carpredefinitoparagrafo"/>
    <w:rsid w:val="00427047"/>
  </w:style>
  <w:style w:type="character" w:styleId="Collegamentoipertestuale">
    <w:name w:val="Hyperlink"/>
    <w:basedOn w:val="Carpredefinitoparagrafo"/>
    <w:uiPriority w:val="99"/>
    <w:semiHidden/>
    <w:unhideWhenUsed/>
    <w:rsid w:val="00427047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427047"/>
  </w:style>
  <w:style w:type="character" w:styleId="Enfasigrassetto">
    <w:name w:val="Strong"/>
    <w:basedOn w:val="Carpredefinitoparagrafo"/>
    <w:uiPriority w:val="22"/>
    <w:qFormat/>
    <w:rsid w:val="00427047"/>
    <w:rPr>
      <w:b/>
      <w:bCs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42704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427047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42704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427047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7047"/>
    <w:rPr>
      <w:rFonts w:ascii="Tahoma" w:hAnsi="Tahoma" w:cs="Tahoma"/>
      <w:color w:val="002060"/>
      <w:sz w:val="16"/>
      <w:szCs w:val="16"/>
    </w:rPr>
  </w:style>
  <w:style w:type="table" w:styleId="Grigliatabella">
    <w:name w:val="Table Grid"/>
    <w:basedOn w:val="Tabellanormale"/>
    <w:uiPriority w:val="59"/>
    <w:rsid w:val="000F3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15AC7"/>
    <w:rPr>
      <w:color w:val="0020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ottotitolimol">
    <w:name w:val="sottotitoli_mol"/>
    <w:basedOn w:val="Carpredefinitoparagrafo"/>
    <w:rsid w:val="00427047"/>
  </w:style>
  <w:style w:type="character" w:styleId="Collegamentoipertestuale">
    <w:name w:val="Hyperlink"/>
    <w:basedOn w:val="Carpredefinitoparagrafo"/>
    <w:uiPriority w:val="99"/>
    <w:semiHidden/>
    <w:unhideWhenUsed/>
    <w:rsid w:val="00427047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427047"/>
  </w:style>
  <w:style w:type="character" w:styleId="Enfasigrassetto">
    <w:name w:val="Strong"/>
    <w:basedOn w:val="Carpredefinitoparagrafo"/>
    <w:uiPriority w:val="22"/>
    <w:qFormat/>
    <w:rsid w:val="00427047"/>
    <w:rPr>
      <w:b/>
      <w:bCs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42704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427047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42704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auto"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427047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7047"/>
    <w:rPr>
      <w:rFonts w:ascii="Tahoma" w:hAnsi="Tahoma" w:cs="Tahoma"/>
      <w:color w:val="002060"/>
      <w:sz w:val="16"/>
      <w:szCs w:val="16"/>
    </w:rPr>
  </w:style>
  <w:style w:type="table" w:styleId="Grigliatabella">
    <w:name w:val="Table Grid"/>
    <w:basedOn w:val="Tabellanormale"/>
    <w:uiPriority w:val="59"/>
    <w:rsid w:val="000F3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60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259354">
                  <w:marLeft w:val="0"/>
                  <w:marRight w:val="0"/>
                  <w:marTop w:val="150"/>
                  <w:marBottom w:val="0"/>
                  <w:divBdr>
                    <w:top w:val="single" w:sz="6" w:space="8" w:color="347BC6"/>
                    <w:left w:val="single" w:sz="6" w:space="8" w:color="347BC6"/>
                    <w:bottom w:val="single" w:sz="6" w:space="8" w:color="347BC6"/>
                    <w:right w:val="single" w:sz="6" w:space="8" w:color="347BC6"/>
                  </w:divBdr>
                  <w:divsChild>
                    <w:div w:id="11461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216611">
                  <w:marLeft w:val="0"/>
                  <w:marRight w:val="0"/>
                  <w:marTop w:val="150"/>
                  <w:marBottom w:val="150"/>
                  <w:divBdr>
                    <w:top w:val="single" w:sz="6" w:space="0" w:color="BED1DC"/>
                    <w:left w:val="single" w:sz="6" w:space="0" w:color="BED1DC"/>
                    <w:bottom w:val="single" w:sz="6" w:space="0" w:color="BED1DC"/>
                    <w:right w:val="single" w:sz="6" w:space="0" w:color="BED1DC"/>
                  </w:divBdr>
                  <w:divsChild>
                    <w:div w:id="182164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47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03389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10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8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20924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58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713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BED1DC"/>
                            <w:bottom w:val="none" w:sz="0" w:space="0" w:color="auto"/>
                            <w:right w:val="single" w:sz="6" w:space="0" w:color="BED1DC"/>
                          </w:divBdr>
                          <w:divsChild>
                            <w:div w:id="36641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25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21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1336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7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velli\hubiC\Documents\Valore%20immobile%20350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Valore immobile 350</Template>
  <TotalTime>0</TotalTime>
  <Pages>2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Novelli</cp:lastModifiedBy>
  <cp:revision>2</cp:revision>
  <cp:lastPrinted>2015-05-06T10:30:00Z</cp:lastPrinted>
  <dcterms:created xsi:type="dcterms:W3CDTF">2015-05-11T07:17:00Z</dcterms:created>
  <dcterms:modified xsi:type="dcterms:W3CDTF">2015-05-11T07:17:00Z</dcterms:modified>
</cp:coreProperties>
</file>